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f2cc89b26fa84d5631661a465eedb9134419ad"/>
    <w:p>
      <w:pPr>
        <w:pStyle w:val="1"/>
      </w:pPr>
      <w:r>
        <w:t xml:space="preserve">Option B Deep Dive — Self-Hosted Local Model Server (Ollama / llama.cpp)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2026-09-26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Replace the Gemini dependency (Replit AI Integration / direct API) with a self-hosted OpenAI-compatible inference server, so AI runs on infrastructure you control with no external API keys or per-token billing.</w:t>
      </w:r>
      <w:r>
        <w:t xml:space="preserve"> </w:t>
      </w:r>
      <w:r>
        <w:rPr>
          <w:b/>
          <w:bCs/>
        </w:rPr>
        <w:t xml:space="preserve">Grounding:</w:t>
      </w:r>
      <w:r>
        <w:t xml:space="preserve"> </w:t>
      </w:r>
      <w:r>
        <w:t xml:space="preserve">Actual source of</w:t>
      </w:r>
      <w:r>
        <w:t xml:space="preserve"> </w:t>
      </w:r>
      <w:r>
        <w:rPr>
          <w:rStyle w:val="VerbatimChar"/>
        </w:rPr>
        <w:t xml:space="preserve">lib/integrations-openai-ai-server</w:t>
      </w:r>
      <w:r>
        <w:t xml:space="preserve"> </w:t>
      </w:r>
      <w:r>
        <w:t xml:space="preserve">on main (</w:t>
      </w:r>
      <w:r>
        <w:rPr>
          <w:rStyle w:val="VerbatimChar"/>
        </w:rPr>
        <w:t xml:space="preserve">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bookmarkStart w:id="20" w:name="X7e1c9ed4dc76ad7e3124b5041f1c4f26eb66227"/>
    <w:p>
      <w:pPr>
        <w:pStyle w:val="2"/>
      </w:pPr>
      <w:r>
        <w:t xml:space="preserve">0. The key discovery: your adapter is already 90% compatible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lib/integrations-openai-ai-server/package.json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"dependencies":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"@google/genai"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"^7.15.0"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installed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currently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unused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package is already a dependency of the adapter workspace. The rest of the server (~30 call sites, plus web/mobile clients via generated contracts) only ever touches:</w:t>
      </w:r>
    </w:p>
    <w:p>
      <w:pPr>
        <w:pStyle w:val="SourceCode"/>
      </w:pPr>
      <w:r>
        <w:rPr>
          <w:rStyle w:val="NormalTok"/>
        </w:rPr>
        <w:t xml:space="preserve">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max_completion_tokens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→ { choices: [{ message: { content } }] }  or  async iterable of { choices: [{ delta: { content } }] }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surface of Ollama’s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and llama.cpp’s OpenAI-compatible server. This is a one-module rewrite, not an integration project.</w:t>
      </w:r>
    </w:p>
    <w:bookmarkEnd w:id="20"/>
    <w:bookmarkStart w:id="21" w:name="X467105f8138b23ba9caecb8c21bc91f659fb968"/>
    <w:p>
      <w:pPr>
        <w:pStyle w:val="2"/>
      </w:pPr>
      <w:r>
        <w:t xml:space="preserve">1. Current adapter mechanics that change or disappear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Current (Gemini</w:t>
            </w:r>
            <w:r>
              <w:t xml:space="preserve"> </w:t>
            </w:r>
            <w:r>
              <w:rPr>
                <w:rStyle w:val="VerbatimChar"/>
              </w:rPr>
              <w:t xml:space="preserve">client.ts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OpenAI-compatible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GoogleGenAI({ apiKey, httpOptions: { apiVersion:"", baseUrl } 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OpenAI({ baseURL: process.env.LOCAL_AI_BASE_URL ?? "http://localhost:11434/v1", apiKey: "ollama" 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system→</w:t>
            </w:r>
            <w:r>
              <w:rPr>
                <w:rStyle w:val="VerbatimChar"/>
              </w:rPr>
              <w:t xml:space="preserve">systemInstruction</w:t>
            </w:r>
            <w:r>
              <w:t xml:space="preserve"> </w:t>
            </w: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— delete</w:t>
            </w:r>
            <w:r>
              <w:t xml:space="preserve"> </w:t>
            </w:r>
            <w:r>
              <w:rPr>
                <w:rStyle w:val="VerbatimChar"/>
              </w:rPr>
              <w:t xml:space="preserve">toGemini()</w:t>
            </w:r>
            <w:r>
              <w:t xml:space="preserve"> </w:t>
            </w:r>
            <w:r>
              <w:t xml:space="preserve">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thinkingConfig: { thinkingLevel: LOW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— local models don’t burn a shared output pool; the MAX_TOKENS starvation class disappears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response_format:{type:"json_object"}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responseMimeType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— but see §3 for the Ollama vs llama.cpp schema-strictness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dataUriToInlineData()</w:t>
            </w:r>
            <w:r>
              <w:t xml:space="preserve"> </w:t>
            </w:r>
            <w:r>
              <w:t xml:space="preserve">for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 </w:t>
            </w:r>
            <w:r>
              <w:t xml:space="preserve">data-URI parts (both servers accept base64) — delete the translator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resp.text ?? null</w:t>
            </w:r>
            <w:r>
              <w:t xml:space="preserve"> </w:t>
            </w:r>
            <w:r>
              <w:t xml:space="preserve">null-normalization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returns</w:t>
            </w:r>
            <w:r>
              <w:t xml:space="preserve"> </w:t>
            </w:r>
            <w:r>
              <w:rPr>
                <w:rStyle w:val="VerbatimChar"/>
              </w:rPr>
              <w:t xml:space="preserve">choices[0].message.content</w:t>
            </w:r>
            <w:r>
              <w:t xml:space="preserve"> </w:t>
            </w:r>
            <w:r>
              <w:t xml:space="preserve">string; keep a</w:t>
            </w:r>
            <w:r>
              <w:t xml:space="preserve"> </w:t>
            </w:r>
            <w:r>
              <w:rPr>
                <w:rStyle w:val="VerbatimChar"/>
              </w:rPr>
              <w:t xml:space="preserve">?? null</w:t>
            </w:r>
            <w:r>
              <w:t xml:space="preserve"> </w:t>
            </w:r>
            <w:r>
              <w:t xml:space="preserve">guard for empty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Replit proxy vs GOOGLE_API_KEY dual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LOCAL_AI_BASE_URL</w:t>
            </w:r>
            <w:r>
              <w:t xml:space="preserve">; keep the Gemini client behind an env flag as optional fallback (see §7)</w:t>
            </w:r>
          </w:p>
        </w:tc>
      </w:tr>
    </w:tbl>
    <w:p>
      <w:pPr>
        <w:pStyle w:val="a0"/>
      </w:pPr>
      <w:r>
        <w:t xml:space="preserve">Test-mock contract is preserved automatically: every</w:t>
      </w:r>
      <w:r>
        <w:t xml:space="preserve"> </w:t>
      </w:r>
      <w:r>
        <w:rPr>
          <w:rStyle w:val="VerbatimChar"/>
        </w:rPr>
        <w:t xml:space="preserve">vi.mock("@workspace/integrations-openai-ai-server")</w:t>
      </w:r>
      <w:r>
        <w:t xml:space="preserve"> </w:t>
      </w:r>
      <w:r>
        <w:t xml:space="preserve">factory expects</w:t>
      </w:r>
      <w:r>
        <w:t xml:space="preserve"> </w:t>
      </w:r>
      <w:r>
        <w:rPr>
          <w:rStyle w:val="VerbatimChar"/>
        </w:rPr>
        <w:t xml:space="preserve">{ openai, AI_MODELS, pickModel }</w:t>
      </w:r>
      <w:r>
        <w:t xml:space="preserve"> </w:t>
      </w:r>
      <w:r>
        <w:t xml:space="preserve">— keep those three exports and no test changes.</w:t>
      </w:r>
    </w:p>
    <w:p>
      <w:pPr>
        <w:pStyle w:val="a0"/>
      </w:pPr>
      <w:r>
        <w:rPr>
          <w:rStyle w:val="VerbatimChar"/>
        </w:rPr>
        <w:t xml:space="preserve">models.ts</w:t>
      </w:r>
      <w:r>
        <w:t xml:space="preserve"> </w:t>
      </w:r>
      <w:r>
        <w:t xml:space="preserve">becomes: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LOCAL_MODEL_FULL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"qwen3:14b"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LOCAL_MODEL_CHEAP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"qwen3:4b"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bookmarkEnd w:id="21"/>
    <w:bookmarkStart w:id="22" w:name="Xd1edbb5d7ffe788340854bc38c82c7d749f4737"/>
    <w:p>
      <w:pPr>
        <w:pStyle w:val="2"/>
      </w:pPr>
      <w:r>
        <w:t xml:space="preserve">2. Runtime choice: Ollama first, llama.cpp when you can name the reason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llama-server (llama.cpp)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Install/ops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Appliance model — one binary, systemd unit, model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manage flags, slots, KV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  <w:r>
              <w:t xml:space="preserve"> </w:t>
            </w:r>
            <w:r>
              <w:t xml:space="preserve">supported;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response_format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 has historically been partial in the compat endpoint</w:t>
            </w:r>
            <w:r>
              <w:t xml:space="preserve"> </w:t>
            </w:r>
            <w:r>
              <w:t xml:space="preserve">(native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is the reliable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response_format</w:t>
            </w:r>
            <w:r>
              <w:t xml:space="preserve"> </w:t>
            </w:r>
            <w:r>
              <w:t xml:space="preserve">incl. </w:t>
            </w:r>
            <w:r>
              <w:rPr>
                <w:b/>
                <w:bCs/>
              </w:rPr>
              <w:t xml:space="preserve">JSON-schema</w:t>
            </w:r>
            <w:r>
              <w:t xml:space="preserve"> </w:t>
            </w:r>
            <w:r>
              <w:t xml:space="preserve">via grammar constraints — strictest structured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(2026 benchmarks)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~1.8× Ollama on identical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engine,</w:t>
            </w:r>
            <w:r>
              <w:t xml:space="preserve"> </w:t>
            </w:r>
            <w:r>
              <w:rPr>
                <w:rStyle w:val="VerbatimChar"/>
              </w:rPr>
              <w:t xml:space="preserve">qwen2.5vl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gemma3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llama3.2-vision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mmproj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per-slot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it working 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Schema-strictness or throughput becomes the bottleneck</w:t>
            </w:r>
          </w:p>
        </w:tc>
      </w:tr>
    </w:tbl>
    <w:p>
      <w:pPr>
        <w:pStyle w:val="a0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 Ollama, but validate</w:t>
      </w:r>
      <w:r>
        <w:t xml:space="preserve"> </w:t>
      </w:r>
      <w:r>
        <w:rPr>
          <w:rStyle w:val="VerbatimChar"/>
        </w:rPr>
        <w:t xml:space="preserve">response_format: {type:"json_object"}</w:t>
      </w:r>
      <w:r>
        <w:t xml:space="preserve"> </w:t>
      </w:r>
      <w:r>
        <w:t xml:space="preserve">behavior on the compat endpoint against your spec-parse routes</w:t>
      </w:r>
      <w:r>
        <w:t xml:space="preserve"> </w:t>
      </w:r>
      <w:r>
        <w:rPr>
          <w:i/>
          <w:iCs/>
        </w:rPr>
        <w:t xml:space="preserve">in the Phase-0 benchmark</w:t>
      </w:r>
      <w:r>
        <w:t xml:space="preserve"> </w:t>
      </w:r>
      <w:r>
        <w:t xml:space="preserve">(your routes already run zod canonicalization + retry on malformed JSON, so a soft gap is survivable — but know it before you commit). If per-route</w:t>
      </w:r>
      <w:r>
        <w:t xml:space="preserve"> </w:t>
      </w:r>
      <w:r>
        <w:rPr>
          <w:b/>
          <w:bCs/>
        </w:rPr>
        <w:t xml:space="preserve">JSON-schema</w:t>
      </w:r>
      <w:r>
        <w:t xml:space="preserve"> </w:t>
      </w:r>
      <w:r>
        <w:t xml:space="preserve">validation proves necessary to hold extraction quality, move to llama-server — its grammar-backed schema support is the strictest available on any OpenAI-compatible server.</w:t>
      </w:r>
    </w:p>
    <w:bookmarkEnd w:id="22"/>
    <w:bookmarkStart w:id="23" w:name="model-selection-per-workload-tier"/>
    <w:p>
      <w:pPr>
        <w:pStyle w:val="2"/>
      </w:pPr>
      <w:r>
        <w:t xml:space="preserve">3. Model selection per workload tier</w:t>
      </w:r>
    </w:p>
    <w:p>
      <w:pPr>
        <w:pStyle w:val="FirstParagraph"/>
      </w:pPr>
      <w:r>
        <w:t xml:space="preserve">Your retained portfolio (post-audit) maps to three model needs: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models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RAM/VRAM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matching, fill-missing, merge candidates (</w:t>
            </w:r>
            <w:r>
              <w:rPr>
                <w:rStyle w:val="VerbatimChar"/>
              </w:rPr>
              <w:t xml:space="preserve">cheap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1.7–4B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qwen3:4b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1.7b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~2.5–3.5GB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High-volume, low-stakes; deterministic matcher still runs first per gates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workbook parsing (</w:t>
            </w:r>
            <w:r>
              <w:rPr>
                <w:rStyle w:val="VerbatimChar"/>
              </w:rPr>
              <w:t xml:space="preserve">full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qwen3:14b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gemma3:12b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~8–9GB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quality-critical route; benchmark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photos, stock intake (vision)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7–12B VLM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qwen2.5vl:7b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gemma3:12b-v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~5–9GB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quality is the biggest open question — measure</w:t>
            </w:r>
          </w:p>
        </w:tc>
      </w:tr>
    </w:tbl>
    <w:p>
      <w:pPr>
        <w:pStyle w:val="a0"/>
      </w:pPr>
      <w:r>
        <w:rPr>
          <w:b/>
          <w:bCs/>
        </w:rPr>
        <w:t xml:space="preserve">VRAM reality:</w:t>
      </w:r>
      <w:r>
        <w:t xml:space="preserve"> </w:t>
      </w:r>
      <w:r>
        <w:t xml:space="preserve">a 24GB card (used RTX 3090/4090) holds</w:t>
      </w:r>
      <w:r>
        <w:t xml:space="preserve"> </w:t>
      </w:r>
      <w:r>
        <w:rPr>
          <w:rStyle w:val="VerbatimChar"/>
        </w:rPr>
        <w:t xml:space="preserve">qwen3:14b</w:t>
      </w:r>
      <w:r>
        <w:t xml:space="preserve"> </w:t>
      </w:r>
      <w:r>
        <w:t xml:space="preserve">Q4 +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 </w:t>
      </w:r>
      <w:r>
        <w:t xml:space="preserve">Q4 concurrently (≈15GB) with room for KV cache — both tiers stay warm. A 16GB card (4060 Ti) forces an 8B text ceiling or model-swapping; a swap is a 10–30s first-token delay on an import click — unacceptable on a floor kiosk unless pre-warmed.</w:t>
      </w:r>
    </w:p>
    <w:bookmarkEnd w:id="23"/>
    <w:bookmarkStart w:id="24" w:name="hardware-network-topology"/>
    <w:p>
      <w:pPr>
        <w:pStyle w:val="2"/>
      </w:pPr>
      <w:r>
        <w:t xml:space="preserve">4. Hardware &amp; network topology</w:t>
      </w:r>
    </w:p>
    <w:p>
      <w:pPr>
        <w:pStyle w:val="FirstParagraph"/>
      </w:pPr>
      <w:r>
        <w:rPr>
          <w:b/>
          <w:bCs/>
        </w:rPr>
        <w:t xml:space="preserve">Render cannot host the model</w:t>
      </w:r>
      <w:r>
        <w:t xml:space="preserve"> </w:t>
      </w:r>
      <w:r>
        <w:t xml:space="preserve">(no GPU, autoscale RAM). Three viable topologies: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On-prem GPU workstation on the plant LAN (recommended)</w:t>
      </w:r>
      <w:r>
        <w:t xml:space="preserve"> </w:t>
      </w:r>
      <w:r>
        <w:t xml:space="preserve">— used RTX 3090 24GB tower (~$800–1,200 one-time). Latency to floor devices is irrelevant (calls originate from the Render-hosted API, not the floor). But Render (cloud) → plant LAN needs a secure tunnel:</w:t>
      </w:r>
      <w:r>
        <w:t xml:space="preserve"> </w:t>
      </w:r>
      <w:r>
        <w:rPr>
          <w:b/>
          <w:bCs/>
        </w:rPr>
        <w:t xml:space="preserve">Tailscale/WireGuard</w:t>
      </w:r>
      <w:r>
        <w:t xml:space="preserve"> </w:t>
      </w:r>
      <w:r>
        <w:t xml:space="preserve">between the Render service and the box, or a TLS+API-key reverse proxy with firewall allow-listing. Binding Ollama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unexposed on the public internet is mandatory.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Colocated GPU VPS</w:t>
      </w:r>
      <w:r>
        <w:t xml:space="preserve"> </w:t>
      </w:r>
      <w:r>
        <w:t xml:space="preserve">(same region as Render, ~$100–200/mo) — simplest networking (private networking or low-latency public), no tunnel, but recurring cost and it’s</w:t>
      </w:r>
      <w:r>
        <w:t xml:space="preserve"> </w:t>
      </w:r>
      <w:r>
        <w:t xml:space="preserve">“</w:t>
      </w:r>
      <w:r>
        <w:t xml:space="preserve">someone else’s computer</w:t>
      </w:r>
      <w:r>
        <w:t xml:space="preserve">”</w:t>
      </w:r>
      <w:r>
        <w:t xml:space="preserve"> </w:t>
      </w:r>
      <w:r>
        <w:t xml:space="preserve">again (though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server, not an API).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Mini-PC (16GB)</w:t>
      </w:r>
      <w:r>
        <w:t xml:space="preserve"> </w:t>
      </w:r>
      <w:r>
        <w:t xml:space="preserve">— cheapest, tightest ceiling; only if the benchmark shows 8B-class quality passes.</w:t>
      </w:r>
    </w:p>
    <w:bookmarkEnd w:id="24"/>
    <w:bookmarkStart w:id="25" w:name="X9fd85fc93a1acd5ffc7537ffab3d3a654020009"/>
    <w:p>
      <w:pPr>
        <w:pStyle w:val="2"/>
      </w:pPr>
      <w:r>
        <w:t xml:space="preserve">5. Server-side changes checklist (outside the adapter)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Readiness check</w:t>
      </w:r>
      <w:r>
        <w:t xml:space="preserve"> </w:t>
      </w:r>
      <w:r>
        <w:t xml:space="preserve">(same pattern as PR #79’s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 </w:t>
      </w:r>
      <w:r>
        <w:t xml:space="preserve">fix): add the model host to the readiness dependencies —</w:t>
      </w:r>
      <w:r>
        <w:t xml:space="preserve"> </w:t>
      </w:r>
      <w:r>
        <w:rPr>
          <w:rStyle w:val="VerbatimChar"/>
        </w:rPr>
        <w:t xml:space="preserve">GET $LOCAL_AI_BASE_URL/api/tags</w:t>
      </w:r>
      <w:r>
        <w:t xml:space="preserve"> </w:t>
      </w:r>
      <w:r>
        <w:t xml:space="preserve">(Ollama) 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(llama.cpp). Render deploys currently have a lazy-chunk cold-start scar (PR #81); don’t add a cold model host to that list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middleware (</w:t>
      </w:r>
      <w:r>
        <w:rPr>
          <w:rStyle w:val="VerbatimChar"/>
          <w:b/>
          <w:bCs/>
        </w:rPr>
        <w:t xml:space="preserve">rateLimitCost.ts</w:t>
      </w:r>
      <w:r>
        <w:rPr>
          <w:b/>
          <w:bCs/>
        </w:rPr>
        <w:t xml:space="preserve">)</w:t>
      </w:r>
      <w:r>
        <w:t xml:space="preserve">: per-token budgets become meaningless. Two options: (a) keep the counters but map to</w:t>
      </w:r>
      <w:r>
        <w:t xml:space="preserve"> </w:t>
      </w:r>
      <w:r>
        <w:rPr>
          <w:b/>
          <w:bCs/>
        </w:rPr>
        <w:t xml:space="preserve">concurrency + context-length guards</w:t>
      </w:r>
      <w:r>
        <w:t xml:space="preserve"> </w:t>
      </w:r>
      <w:r>
        <w:t xml:space="preserve">(a local server degrades via queueing, not 429s — set</w:t>
      </w:r>
      <w:r>
        <w:t xml:space="preserve"> </w:t>
      </w:r>
      <w:r>
        <w:rPr>
          <w:rStyle w:val="VerbatimChar"/>
        </w:rPr>
        <w:t xml:space="preserve">OLLAMA_NUM_PARALLEL=2</w:t>
      </w:r>
      <w:r>
        <w:t xml:space="preserve"> </w:t>
      </w:r>
      <w:r>
        <w:t xml:space="preserve">and mirror that in middleware); (b) no-op it and rely on p-limit already in the adapter package. Recommend (a) — the middleware’s real job was never money, it was protecting the inference backend from stampedes.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Retry/sanitize (</w:t>
      </w:r>
      <w:r>
        <w:rPr>
          <w:rStyle w:val="VerbatimChar"/>
          <w:b/>
          <w:bCs/>
        </w:rPr>
        <w:t xml:space="preserve">aiJsonRetry.ts</w:t>
      </w:r>
      <w:r>
        <w:rPr>
          <w:b/>
          <w:bCs/>
        </w:rPr>
        <w:t xml:space="preserve">)</w:t>
      </w:r>
      <w:r>
        <w:t xml:space="preserve">: keep — local servers return 5xx under load; one bounded retry still fits.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 cache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SPEC_PARSE_VERSION</w:t>
      </w:r>
      <w:r>
        <w:t xml:space="preserve">: keep the cache (now saves</w:t>
      </w:r>
      <w:r>
        <w:t xml:space="preserve"> </w:t>
      </w:r>
      <w:r>
        <w:rPr>
          <w:i/>
          <w:iCs/>
        </w:rPr>
        <w:t xml:space="preserve">compute</w:t>
      </w:r>
      <w:r>
        <w:t xml:space="preserve">, not money). Bump 40 → 41 when the model changes so stale parses invalidate.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Streaming routes (</w:t>
      </w:r>
      <w:r>
        <w:rPr>
          <w:rStyle w:val="VerbatimChar"/>
          <w:b/>
          <w:bCs/>
        </w:rPr>
        <w:t xml:space="preserve">/ai/ask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/ai/recipe-assistant</w:t>
      </w:r>
      <w:r>
        <w:rPr>
          <w:b/>
          <w:bCs/>
        </w:rPr>
        <w:t xml:space="preserve"> </w:t>
      </w:r>
      <w:r>
        <w:rPr>
          <w:b/>
          <w:bCs/>
        </w:rPr>
        <w:t xml:space="preserve">SSE)</w:t>
      </w:r>
      <w:r>
        <w:t xml:space="preserve">: OpenAI-SDK streaming works unchanged against both servers. (Both routes are audit-marked Retire anyway — don’t block the migration on them.)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Web/mobile clients</w:t>
      </w:r>
      <w:r>
        <w:t xml:space="preserve">: zero changes — the contract is server-internal.</w:t>
      </w:r>
    </w:p>
    <w:bookmarkEnd w:id="25"/>
    <w:bookmarkStart w:id="26" w:name="X59b9d1738b856894ee8d2cdd0b9655e6f2c7816"/>
    <w:p>
      <w:pPr>
        <w:pStyle w:val="2"/>
      </w:pPr>
      <w:r>
        <w:t xml:space="preserve">6. Phase-0 benchmark protocol (the decision gate)</w:t>
      </w:r>
    </w:p>
    <w:p>
      <w:pPr>
        <w:pStyle w:val="FirstParagraph"/>
      </w:pPr>
      <w:r>
        <w:t xml:space="preserve">The 2026-09-05 audit made the corpus harness the acceptance standard. Concrete procedure:</w:t>
      </w:r>
    </w:p>
    <w:p>
      <w:pPr>
        <w:pStyle w:val="Compact"/>
        <w:numPr>
          <w:ilvl w:val="0"/>
          <w:numId w:val="1003"/>
        </w:numPr>
      </w:pPr>
      <w:r>
        <w:t xml:space="preserve">Stand up Ollama on any GPU machine (a rented GPU hour is fine for the read).</w:t>
      </w:r>
    </w:p>
    <w:p>
      <w:pPr>
        <w:pStyle w:val="Compact"/>
        <w:numPr>
          <w:ilvl w:val="0"/>
          <w:numId w:val="1003"/>
        </w:numPr>
      </w:pPr>
      <w:r>
        <w:t xml:space="preserve">Point the adapter at it via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with a minimal client rewrite (§1).</w:t>
      </w:r>
    </w:p>
    <w:p>
      <w:pPr>
        <w:pStyle w:val="Compact"/>
        <w:numPr>
          <w:ilvl w:val="0"/>
          <w:numId w:val="1003"/>
        </w:numPr>
      </w:pPr>
      <w:r>
        <w:t xml:space="preserve">Run the retained spec-import corpus (the same harness that produced</w:t>
      </w:r>
      <w:r>
        <w:t xml:space="preserve"> </w:t>
      </w:r>
      <w:r>
        <w:rPr>
          <w:rStyle w:val="VerbatimChar"/>
        </w:rPr>
        <w:t xml:space="preserve">second-pass-reviewer-benchmark-2026-09-05.json</w:t>
      </w:r>
      <w:r>
        <w:t xml:space="preserve">) against</w:t>
      </w:r>
      <w:r>
        <w:t xml:space="preserve"> </w:t>
      </w:r>
      <w:r>
        <w:rPr>
          <w:rStyle w:val="VerbatimChar"/>
        </w:rPr>
        <w:t xml:space="preserve">qwen3:14b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gemma3:12b</w:t>
      </w:r>
      <w:r>
        <w:t xml:space="preserve">; run the photo corpus against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Compare discrepancy rates vs the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baseline recorded at PR #81 (add it to the benchmark evidence file alongside the Node/pnpmLock provenance already tracked).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Per-route verdict</w:t>
      </w:r>
      <w:r>
        <w:t xml:space="preserve">: switch / keep-Gemini / hybrid. A hybrid (local for</w:t>
      </w:r>
      <w:r>
        <w:t xml:space="preserve"> </w:t>
      </w:r>
      <w:r>
        <w:rPr>
          <w:rStyle w:val="VerbatimChar"/>
        </w:rPr>
        <w:t xml:space="preserve">cheap</w:t>
      </w:r>
      <w:r>
        <w:t xml:space="preserve"> </w:t>
      </w:r>
      <w:r>
        <w:t xml:space="preserve">matching, Gemini for full extraction) is legitimate and matches the #11 cross-provider-fallback research — it also de-risks the migration.</w:t>
      </w:r>
    </w:p>
    <w:p>
      <w:pPr>
        <w:pStyle w:val="Compact"/>
        <w:numPr>
          <w:ilvl w:val="0"/>
          <w:numId w:val="1003"/>
        </w:numPr>
      </w:pPr>
      <w:r>
        <w:t xml:space="preserve">Latency budget: 14B Q4 on a 3090 ≈ 40–60 tok/s. Spec parse emits 1–3k tokens across workbook chunks → 30–75s per import, roughly comparable to current chunked parses; verify against production logs before promising parity.</w:t>
      </w:r>
    </w:p>
    <w:bookmarkEnd w:id="26"/>
    <w:bookmarkStart w:id="27" w:name="Xc54e06b0fc0e978cd5dd49390e82d61bb947af1"/>
    <w:p>
      <w:pPr>
        <w:pStyle w:val="2"/>
      </w:pPr>
      <w:r>
        <w:t xml:space="preserve">7. Fallback policy (decide explicitly, per the gates doc)</w:t>
      </w:r>
    </w:p>
    <w:p>
      <w:pPr>
        <w:pStyle w:val="FirstParagraph"/>
      </w:pPr>
      <w:r>
        <w:t xml:space="preserve">The durable gates policy says provider failures must surface as a labeled, fail-closed</w:t>
      </w:r>
      <w:r>
        <w:t xml:space="preserve"> </w:t>
      </w:r>
      <w:r>
        <w:t xml:space="preserve">“</w:t>
      </w:r>
      <w:r>
        <w:t xml:space="preserve">AI unavailable</w:t>
      </w:r>
      <w:r>
        <w:t xml:space="preserve">”</w:t>
      </w:r>
      <w:r>
        <w:t xml:space="preserve"> </w:t>
      </w:r>
      <w:r>
        <w:t xml:space="preserve">state. With two providers you have a choice: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Fail-closed</w:t>
      </w:r>
      <w:r>
        <w:t xml:space="preserve"> </w:t>
      </w:r>
      <w:r>
        <w:t xml:space="preserve">(policy default): local down → enrichment unavailable, deterministic workflows unaffected.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Local→Gemini fallback</w:t>
      </w:r>
      <w:r>
        <w:t xml:space="preserve"> </w:t>
      </w:r>
      <w:r>
        <w:t xml:space="preserve">for the retained extraction routes only: protects the import UX during model-host outages, at the cost of keeping the Gemini dependency alive. If you choose this, the adapter needs the dual-client logic the current</w:t>
      </w:r>
      <w:r>
        <w:t xml:space="preserve"> </w:t>
      </w:r>
      <w:r>
        <w:rPr>
          <w:rStyle w:val="VerbatimChar"/>
        </w:rPr>
        <w:t xml:space="preserve">client()</w:t>
      </w:r>
      <w:r>
        <w:t xml:space="preserve"> </w:t>
      </w:r>
      <w:r>
        <w:t xml:space="preserve">already has — keep it.</w:t>
      </w:r>
    </w:p>
    <w:p>
      <w:pPr>
        <w:pStyle w:val="FirstParagraph"/>
      </w:pPr>
      <w:r>
        <w:t xml:space="preserve">Recommend: fail-closed everywhere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spec import, where a Gemini fallback is justified (it’s the one workflow with no deterministic substitute). Record the decision in the audit doc’s portfolio table.</w:t>
      </w:r>
    </w:p>
    <w:bookmarkEnd w:id="27"/>
    <w:bookmarkStart w:id="28" w:name="risks"/>
    <w:p>
      <w:pPr>
        <w:pStyle w:val="2"/>
      </w:pPr>
      <w:r>
        <w:t xml:space="preserve">8.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quality regression vs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gate (§6); hybrid per-route fallback; never switch unbenchmarked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Model-swap latency on kiosk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GPU with both models resident (24GB), or keep-alive pre-warm at sign-in (same trick as PR #81’s lazy-chunk warm-up)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 burden / bus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appliance model; document in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; pin model digests so upgrades are deliberate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of the inference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Tailscale/WireGuard or TLS+key; never expose 11434 publicly;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Render↔plant-LAN tunnel flakiness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+ fail-closed state; consider colocated VPS if the tunnel proves unreliable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model digests (</w:t>
            </w:r>
            <w:r>
              <w:rPr>
                <w:rStyle w:val="VerbatimChar"/>
              </w:rPr>
              <w:t xml:space="preserve">ollama pull qwen3:14b@sha256:...</w:t>
            </w:r>
            <w:r>
              <w:t xml:space="preserve">) like you pin pnpmLockSha256 in the corpus manifest</w:t>
            </w:r>
          </w:p>
        </w:tc>
      </w:tr>
    </w:tbl>
    <w:bookmarkEnd w:id="28"/>
    <w:bookmarkStart w:id="29" w:name="effort-estimate"/>
    <w:p>
      <w:pPr>
        <w:pStyle w:val="2"/>
      </w:pPr>
      <w:r>
        <w:t xml:space="preserve">9. Effort estimate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harness run (rented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rewrite + env plumbing + readiness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retarget, cache/version bump, CI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procurement + network (if on-prem)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parallel, 1–2 wks elapsed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of Gemini path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+ retention review per audit</w:t>
            </w:r>
          </w:p>
        </w:tc>
      </w:tr>
    </w:tbl>
    <w:p>
      <w:pPr>
        <w:pStyle w:val="a0"/>
      </w:pPr>
      <w:r>
        <w:t xml:space="preserve">Total engineering: roughly 1–2 weeks. The long pole is hardware/network, not code.</w:t>
      </w:r>
    </w:p>
    <w:bookmarkEnd w:id="29"/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2026-09-27T04:09:58Z</dcterms:created>
  <dcterms:modified xsi:type="dcterms:W3CDTF">2026-09-27T04:09:58Z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-20260927120958","ReservedCode1":"","ContentPropagator":"001191110108MACG2KBH8F20000","PropagateID":"daipljk8k36dhc750sf0-1a0b7e70-0c02-85d8-8000-0923a27389c5-20260927120958","ReservedCode2":""}</vt:lpwstr>
  </property>
</Properties>
</file>