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9dca5069349c190933ca9ad8b940ac095e0775"/>
    <w:p>
      <w:pPr>
        <w:pStyle w:val="1"/>
      </w:pPr>
      <w:r>
        <w:t xml:space="preserve">Adapter &amp; Env-Contract Review — test-merge/replit-main (2026-09-29)</w:t>
      </w:r>
    </w:p>
    <w:p>
      <w:pPr>
        <w:pStyle w:val="FirstParagraph"/>
      </w:pPr>
      <w:r>
        <w:t xml:space="preserve">Deep read of the shipped local-first adapter (</w:t>
      </w:r>
      <w:r>
        <w:rPr>
          <w:rStyle w:val="VerbatimChar"/>
        </w:rPr>
        <w:t xml:space="preserve">lib/integrations-openai-ai-server/src/{client,models,index}.ts</w:t>
      </w:r>
      <w:r>
        <w:t xml:space="preserve">), the readiness route, and the heaviest AI dispatcher (</w:t>
      </w:r>
      <w:r>
        <w:rPr>
          <w:rStyle w:val="VerbatimChar"/>
        </w:rPr>
        <w:t xml:space="preserve">artifacts/api-server/src/routes/ai.ts</w:t>
      </w:r>
      <w:r>
        <w:t xml:space="preserve">). Purpose: V1 audit (AI_MODELS vs pickModel), env-contract reconciliation input, and new findings from line-level review.</w:t>
      </w:r>
    </w:p>
    <w:bookmarkStart w:id="20" w:name="X05a45110daf98113f8135f7df1d09f626f6d65d"/>
    <w:p>
      <w:pPr>
        <w:pStyle w:val="2"/>
      </w:pPr>
      <w:r>
        <w:t xml:space="preserve">1. Shipped env contract (reconciliation target for docs)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LOCAL_AI_BASE_URL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client.ts</w:t>
            </w:r>
            <w:r>
              <w:t xml:space="preserve"> </w:t>
            </w:r>
            <w:r>
              <w:rPr>
                <w:rStyle w:val="VerbatimChar"/>
              </w:rPr>
              <w:t xml:space="preserve">useLocal()</w:t>
            </w:r>
            <w:r>
              <w:t xml:space="preserve">, models.ts</w:t>
            </w:r>
            <w:r>
              <w:t xml:space="preserve"> </w:t>
            </w:r>
            <w:r>
              <w:rPr>
                <w:rStyle w:val="VerbatimChar"/>
              </w:rPr>
              <w:t xml:space="preserve">resolveModel()</w:t>
            </w:r>
            <w:r>
              <w:t xml:space="preserve">, health.ts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the local backend when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client.ts</w:t>
            </w:r>
            <w:r>
              <w:t xml:space="preserve"> </w:t>
            </w:r>
            <w:r>
              <w:rPr>
                <w:rStyle w:val="VerbatimChar"/>
              </w:rPr>
              <w:t xml:space="preserve">localClient()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keyed-proxy credential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LOCAL_AI_FALLBACK_TO_GEMINI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client.ts</w:t>
            </w:r>
            <w:r>
              <w:t xml:space="preserve"> </w:t>
            </w:r>
            <w:r>
              <w:rPr>
                <w:rStyle w:val="VerbatimChar"/>
              </w:rPr>
              <w:t xml:space="preserve">fallbackToGemini()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transport-only cross-provider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LOCAL_MODEL_FULL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LOCAL_MODEL_CHEAP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server model names (defaults qwen3:14b / qwen3:4b)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GEMINI_MODEL_FULL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GEMINI_MODEL_CHEAP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model names (both default gemini-3.6-flash) — NEW vs. earlier design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LOCAL_AI_STRICT_READINESS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health.ts</w:t>
            </w:r>
            <w:r>
              <w:t xml:space="preserve"> </w:t>
            </w:r>
            <w:r>
              <w:rPr>
                <w:rStyle w:val="VerbatimChar"/>
              </w:rPr>
              <w:t xml:space="preserve">probeLocalModelHost()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live probe of the model host (default: env-presence only)</w:t>
            </w:r>
          </w:p>
        </w:tc>
      </w:tr>
    </w:tbl>
    <w:p>
      <w:pPr>
        <w:pStyle w:val="a0"/>
      </w:pPr>
      <w:r>
        <w:t xml:space="preserve">Docs to update against this table:</w:t>
      </w:r>
      <w:r>
        <w:t xml:space="preserve"> </w:t>
      </w:r>
      <w:r>
        <w:rPr>
          <w:rStyle w:val="VerbatimChar"/>
        </w:rPr>
        <w:t xml:space="preserve">docs/local-ai-deployment.md</w:t>
      </w:r>
      <w:r>
        <w:t xml:space="preserve"> </w:t>
      </w:r>
      <w:r>
        <w:t xml:space="preserve">(still describes the retired llama.cpp CI workflow) and the phase0 design doc (which proposed</w:t>
      </w:r>
      <w:r>
        <w:t xml:space="preserve"> </w:t>
      </w:r>
      <w:r>
        <w:rPr>
          <w:rStyle w:val="VerbatimChar"/>
        </w:rPr>
        <w:t xml:space="preserve">AI_PROVIDER</w:t>
      </w:r>
      <w:r>
        <w:t xml:space="preserve">/</w:t>
      </w:r>
      <w:r>
        <w:rPr>
          <w:rStyle w:val="VerbatimChar"/>
        </w:rPr>
        <w:t xml:space="preserve">LOCAL_AI_MODEL_*</w:t>
      </w:r>
      <w:r>
        <w:t xml:space="preserve"> </w:t>
      </w:r>
      <w:r>
        <w:t xml:space="preserve">— the shipped code uses presence-of-</w:t>
      </w:r>
      <w:r>
        <w:rPr>
          <w:rStyle w:val="VerbatimChar"/>
        </w:rPr>
        <w:t xml:space="preserve">LOCAL_AI_BASE_URL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LOCAL_MODEL_*</w:t>
      </w:r>
      <w:r>
        <w:t xml:space="preserve"> </w:t>
      </w:r>
      <w:r>
        <w:t xml:space="preserve">instead). One contract should be declared authoritative; the code’s is the better one (no mode enum to drift).</w:t>
      </w:r>
    </w:p>
    <w:bookmarkEnd w:id="20"/>
    <w:bookmarkStart w:id="21" w:name="v1-audit-ai_models-snapshot-vs-pickmodel"/>
    <w:p>
      <w:pPr>
        <w:pStyle w:val="2"/>
      </w:pPr>
      <w:r>
        <w:t xml:space="preserve">2. V1 audit (AI_MODELS snapshot vs pickModel)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routes/ai.ts</w:t>
      </w:r>
      <w:r>
        <w:t xml:space="preserve"> </w:t>
      </w:r>
      <w:r>
        <w:t xml:space="preserve">— the heaviest AI dispatcher (parse-spec, parse-images, match-import, match-premix) — uses</w:t>
      </w:r>
      <w:r>
        <w:t xml:space="preserve"> </w:t>
      </w:r>
      <w:r>
        <w:rPr>
          <w:rStyle w:val="VerbatimChar"/>
        </w:rPr>
        <w:t xml:space="preserve">pickModel("cheap"|"full")</w:t>
      </w:r>
      <w:r>
        <w:t xml:space="preserve"> </w:t>
      </w:r>
      <w:r>
        <w:rPr>
          <w:b/>
          <w:bCs/>
        </w:rPr>
        <w:t xml:space="preserve">exclusively</w:t>
      </w:r>
      <w:r>
        <w:t xml:space="preserve">, resolved at request time. No direct</w:t>
      </w:r>
      <w:r>
        <w:t xml:space="preserve"> </w:t>
      </w:r>
      <w:r>
        <w:rPr>
          <w:rStyle w:val="VerbatimChar"/>
        </w:rPr>
        <w:t xml:space="preserve">AI_MODELS</w:t>
      </w:r>
      <w:r>
        <w:t xml:space="preserve"> </w:t>
      </w:r>
      <w:r>
        <w:t xml:space="preserve">reads.</w:t>
      </w:r>
    </w:p>
    <w:p>
      <w:pPr>
        <w:pStyle w:val="Compact"/>
        <w:numPr>
          <w:ilvl w:val="0"/>
          <w:numId w:val="1001"/>
        </w:numPr>
      </w:pPr>
      <w:r>
        <w:t xml:space="preserve">Cache fingerprints include the resolved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 so a provider/model switch invalidates caches rather than poisoning them (verified in the match-import/match-premix cacheable paths).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unsampled files (</w:t>
      </w:r>
      <w:r>
        <w:rPr>
          <w:rStyle w:val="VerbatimChar"/>
        </w:rPr>
        <w:t xml:space="preserve">aiCorrections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incidentsAi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fillMissingValues</w:t>
      </w:r>
      <w:r>
        <w:t xml:space="preserve">, lib consumers, tests). Before merge run:</w:t>
      </w:r>
      <w:r>
        <w:t xml:space="preserve"> </w:t>
      </w:r>
      <w:r>
        <w:rPr>
          <w:rStyle w:val="VerbatimChar"/>
        </w:rPr>
        <w:t xml:space="preserve">git grep -n "AI_MODELS\." -- ':!lib/integrations-openai-ai-server'</w:t>
      </w:r>
      <w:r>
        <w:t xml:space="preserve"> </w:t>
      </w:r>
      <w:r>
        <w:t xml:space="preserve">Any hit outside tests/metrics-introspection should switch to</w:t>
      </w:r>
      <w:r>
        <w:t xml:space="preserve"> </w:t>
      </w:r>
      <w:r>
        <w:rPr>
          <w:rStyle w:val="VerbatimChar"/>
        </w:rPr>
        <w:t xml:space="preserve">pickModel()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Verdict: V1 is low-risk; the snapshot/</w:t>
      </w:r>
      <w:r>
        <w:rPr>
          <w:rStyle w:val="VerbatimChar"/>
        </w:rPr>
        <w:t xml:space="preserve">pickModel</w:t>
      </w:r>
      <w:r>
        <w:t xml:space="preserve"> </w:t>
      </w:r>
      <w:r>
        <w:t xml:space="preserve">split is correctly designed (snapshot documented as import-time introspection only).</w:t>
      </w:r>
    </w:p>
    <w:bookmarkEnd w:id="21"/>
    <w:bookmarkStart w:id="26" w:name="new-findings-from-line-level-review"/>
    <w:p>
      <w:pPr>
        <w:pStyle w:val="2"/>
      </w:pPr>
      <w:r>
        <w:t xml:space="preserve">3. New findings from line-level review</w:t>
      </w:r>
    </w:p>
    <w:bookmarkStart w:id="22" w:name="X02dd4e6a5c9f981bc5386887566e90644c51063"/>
    <w:p>
      <w:pPr>
        <w:pStyle w:val="3"/>
      </w:pPr>
      <w:r>
        <w:t xml:space="preserve">F1 — config errors masked by the fallback (B2 confirmed with a concrete path)</w:t>
      </w:r>
    </w:p>
    <w:p>
      <w:pPr>
        <w:pStyle w:val="FirstParagraph"/>
      </w:pPr>
      <w:r>
        <w:rPr>
          <w:rStyle w:val="VerbatimChar"/>
        </w:rPr>
        <w:t xml:space="preserve">isTransportError()</w:t>
      </w:r>
      <w:r>
        <w:t xml:space="preserve"> </w:t>
      </w:r>
      <w:r>
        <w:t xml:space="preserve">ends in</w:t>
      </w:r>
      <w:r>
        <w:t xml:space="preserve"> </w:t>
      </w:r>
      <w:r>
        <w:rPr>
          <w:rStyle w:val="VerbatimChar"/>
        </w:rPr>
        <w:t xml:space="preserve">err instanceof Error</w:t>
      </w:r>
      <w:r>
        <w:t xml:space="preserve"> </w:t>
      </w:r>
      <w:r>
        <w:t xml:space="preserve">— a catch-all. Concrete scenario:</w:t>
      </w:r>
      <w:r>
        <w:t xml:space="preserve"> </w:t>
      </w:r>
      <w:r>
        <w:rPr>
          <w:rStyle w:val="VerbatimChar"/>
        </w:rPr>
        <w:t xml:space="preserve">LOCAL_AI_BASE_URL</w:t>
      </w:r>
      <w:r>
        <w:t xml:space="preserve"> </w:t>
      </w:r>
      <w:r>
        <w:t xml:space="preserve">set to a malformed URL → the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SDK throws a plain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at request construction → classified transport → silently retried against Gemini (when fallback enabled). A permanently broken local config never surfaces. Fix: drop the</w:t>
      </w:r>
      <w:r>
        <w:t xml:space="preserve"> </w:t>
      </w:r>
      <w:r>
        <w:rPr>
          <w:rStyle w:val="VerbatimChar"/>
        </w:rPr>
        <w:t xml:space="preserve">instanceof Error</w:t>
      </w:r>
      <w:r>
        <w:t xml:space="preserve"> </w:t>
      </w:r>
      <w:r>
        <w:t xml:space="preserve">arm; classify</w:t>
      </w:r>
      <w:r>
        <w:t xml:space="preserve"> </w:t>
      </w:r>
      <w:r>
        <w:rPr>
          <w:rStyle w:val="VerbatimChar"/>
        </w:rPr>
        <w:t xml:space="preserve">OpenAI.APIConnectionError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GeminiRequestTimeoutError</w:t>
      </w:r>
      <w:r>
        <w:t xml:space="preserve">, and connection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s only. Validation errors were already correct (4xx APIError arm).</w:t>
      </w:r>
    </w:p>
    <w:bookmarkEnd w:id="22"/>
    <w:bookmarkStart w:id="23" w:name="X5a220630f215cae7085471ff3babfd98ddf783a"/>
    <w:p>
      <w:pPr>
        <w:pStyle w:val="3"/>
      </w:pPr>
      <w:r>
        <w:t xml:space="preserve">F2 — streaming metrics report success for mid-stream failures (both backends)</w:t>
      </w:r>
    </w:p>
    <w:p>
      <w:pPr>
        <w:pStyle w:val="FirstParagraph"/>
      </w:pPr>
      <w:r>
        <w:rPr>
          <w:rStyle w:val="VerbatimChar"/>
        </w:rPr>
        <w:t xml:space="preserve">createLocalWithMetrics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outcome = "success"</w:t>
      </w:r>
      <w:r>
        <w:t xml:space="preserve"> </w:t>
      </w:r>
      <w:r>
        <w:t xml:space="preserve">when the stream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is created; errors during iteration propagate through the generator unreported (the same pre-existing pattern as the Gemini path). Functional behavior is fine (error reaches the SSE consumer); the metrics lie. Fix: wrap the generator body in try/catch, report</w:t>
      </w:r>
      <w:r>
        <w:t xml:space="preserve"> </w:t>
      </w:r>
      <w:r>
        <w:rPr>
          <w:rStyle w:val="VerbatimChar"/>
        </w:rPr>
        <w:t xml:space="preserve">provider_error</w:t>
      </w:r>
      <w:r>
        <w:t xml:space="preserve">, rethrow. Observability-only; not a functional bug.</w:t>
      </w:r>
    </w:p>
    <w:bookmarkEnd w:id="23"/>
    <w:bookmarkStart w:id="24" w:name="Xfada1352b1e87949b8db1191d4fe464dddbf3ba"/>
    <w:p>
      <w:pPr>
        <w:pStyle w:val="3"/>
      </w:pPr>
      <w:r>
        <w:t xml:space="preserve">F3 — local requests are invisible to cost accounting</w:t>
      </w:r>
    </w:p>
    <w:p>
      <w:pPr>
        <w:pStyle w:val="FirstParagraph"/>
      </w:pPr>
      <w:r>
        <w:t xml:space="preserve">Local-path metrics always report zero tokens (</w:t>
      </w:r>
      <w:r>
        <w:rPr>
          <w:rStyle w:val="VerbatimChar"/>
        </w:rPr>
        <w:t xml:space="preserve">usageMetrics()</w:t>
      </w:r>
      <w:r>
        <w:t xml:space="preserve"> </w:t>
      </w:r>
      <w:r>
        <w:t xml:space="preserve">with no response). If</w:t>
      </w:r>
      <w:r>
        <w:t xml:space="preserve"> </w:t>
      </w:r>
      <w:r>
        <w:rPr>
          <w:rStyle w:val="VerbatimChar"/>
        </w:rPr>
        <w:t xml:space="preserve">chargeAiCost</w:t>
      </w:r>
      <w:r>
        <w:t xml:space="preserve">/rate-limit weighting derives from token metrics, local requests bypass the budget entirely. Per the Option B deep-dive Phase 2 this needs a deliberate decision: retarget the cost middleware to concurrency/context-length guards, or accept unbounded local usage (defensible — the constraint is no longer money, it’s GPU capacity — but then document it).</w:t>
      </w:r>
    </w:p>
    <w:bookmarkEnd w:id="24"/>
    <w:bookmarkStart w:id="25" w:name="f4-comment-drift-on-the-export-contract"/>
    <w:p>
      <w:pPr>
        <w:pStyle w:val="3"/>
      </w:pPr>
      <w:r>
        <w:t xml:space="preserve">F4 — comment drift on the export contract</w:t>
      </w:r>
    </w:p>
    <w:p>
      <w:pPr>
        <w:pStyle w:val="FirstParagraph"/>
      </w:pPr>
      <w:r>
        <w:rPr>
          <w:rStyle w:val="VerbatimChar"/>
        </w:rPr>
        <w:t xml:space="preserve">client.ts</w:t>
      </w:r>
      <w:r>
        <w:t xml:space="preserve">’s header lists the module exports but omits</w:t>
      </w:r>
      <w:r>
        <w:t xml:space="preserve"> </w:t>
      </w:r>
      <w:r>
        <w:rPr>
          <w:rStyle w:val="VerbatimChar"/>
        </w:rPr>
        <w:t xml:space="preserve">pickModel</w:t>
      </w:r>
      <w:r>
        <w:t xml:space="preserve">/</w:t>
      </w:r>
      <w:r>
        <w:rPr>
          <w:rStyle w:val="VerbatimChar"/>
        </w:rPr>
        <w:t xml:space="preserve">AI_MODELS</w:t>
      </w:r>
      <w:r>
        <w:t xml:space="preserve"> </w:t>
      </w:r>
      <w:r>
        <w:t xml:space="preserve">(they live in</w:t>
      </w:r>
      <w:r>
        <w:t xml:space="preserve"> </w:t>
      </w:r>
      <w:r>
        <w:rPr>
          <w:rStyle w:val="VerbatimChar"/>
        </w:rPr>
        <w:t xml:space="preserve">models.ts</w:t>
      </w:r>
      <w:r>
        <w:t xml:space="preserve">, re-exported from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). Harmless today, but if anyone rewrites a</w:t>
      </w:r>
      <w:r>
        <w:t xml:space="preserve"> </w:t>
      </w:r>
      <w:r>
        <w:rPr>
          <w:rStyle w:val="VerbatimChar"/>
        </w:rPr>
        <w:t xml:space="preserve">vi.mock</w:t>
      </w:r>
      <w:r>
        <w:t xml:space="preserve"> </w:t>
      </w:r>
      <w:r>
        <w:t xml:space="preserve">factory to match the header comment, imports of</w:t>
      </w:r>
      <w:r>
        <w:t xml:space="preserve"> </w:t>
      </w:r>
      <w:r>
        <w:rPr>
          <w:rStyle w:val="VerbatimChar"/>
        </w:rPr>
        <w:t xml:space="preserve">AI_MODELS</w:t>
      </w:r>
      <w:r>
        <w:t xml:space="preserve"> </w:t>
      </w:r>
      <w:r>
        <w:t xml:space="preserve">from the mock silently become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 Either complete the comment or drop the export enumeration.</w:t>
      </w:r>
    </w:p>
    <w:bookmarkEnd w:id="25"/>
    <w:bookmarkEnd w:id="26"/>
    <w:bookmarkStart w:id="27" w:name="verified-clean-in-this-pass"/>
    <w:p>
      <w:pPr>
        <w:pStyle w:val="2"/>
      </w:pPr>
      <w:r>
        <w:t xml:space="preserve">4. Verified clean in this pass</w:t>
      </w:r>
    </w:p>
    <w:p>
      <w:pPr>
        <w:pStyle w:val="Compact"/>
        <w:numPr>
          <w:ilvl w:val="0"/>
          <w:numId w:val="1002"/>
        </w:numPr>
      </w:pPr>
      <w:r>
        <w:t xml:space="preserve">Fallback policy honored end-to-end: cancellation never falls back; 4xx never falls back; transport-only fallback lands in the Gemini resilience path (bounded retry + circuit breaker intact).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abortable</w:t>
      </w:r>
      <w:r>
        <w:t xml:space="preserve"> </w:t>
      </w:r>
      <w:r>
        <w:t xml:space="preserve">env/signal/timer cleanup correct in all paths including pre-aborted signals.</w:t>
      </w:r>
    </w:p>
    <w:p>
      <w:pPr>
        <w:pStyle w:val="Compact"/>
        <w:numPr>
          <w:ilvl w:val="0"/>
          <w:numId w:val="1002"/>
        </w:numPr>
      </w:pPr>
      <w:r>
        <w:t xml:space="preserve">Readiness: strict probe gated, 1.5s timeout, correct OpenAI-compat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path,</w:t>
      </w:r>
      <w:r>
        <w:t xml:space="preserve"> </w:t>
      </w:r>
      <w:r>
        <w:rPr>
          <w:rStyle w:val="VerbatimChar"/>
        </w:rPr>
        <w:t xml:space="preserve">isGeminiProviderConfigured()</w:t>
      </w:r>
      <w:r>
        <w:t xml:space="preserve"> </w:t>
      </w:r>
      <w:r>
        <w:t xml:space="preserve">kept as the single credential source of truth (health cannot drift from</w:t>
      </w:r>
      <w:r>
        <w:t xml:space="preserve"> </w:t>
      </w:r>
      <w:r>
        <w:rPr>
          <w:rStyle w:val="VerbatimChar"/>
        </w:rPr>
        <w:t xml:space="preserve">client()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ai.ts route hygiene: deterministic paths fully separated from the paid/cached paths; cost charging placed at cache-miss owner (hits/waiters don’t consume budget); empty-body legacy guard preserved; cache stores model-owned suggestions only, not request-local deterministic matches (replay-safe).</w:t>
      </w:r>
    </w:p>
    <w:p>
      <w:pPr>
        <w:pStyle w:val="Compact"/>
        <w:numPr>
          <w:ilvl w:val="0"/>
          <w:numId w:val="1002"/>
        </w:numPr>
      </w:pPr>
      <w:r>
        <w:t xml:space="preserve">models.ts: lazy resolution, local/Gemini defaults documented with the gemini-2.5 retirement rationale.</w:t>
      </w:r>
    </w:p>
    <w:bookmarkEnd w:id="27"/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2026-09-30T11:26:49Z</dcterms:created>
  <dcterms:modified xsi:type="dcterms:W3CDTF">2026-09-30T11:26:49Z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-20260930192649","ReservedCode1":"","ContentPropagator":"001191110108MACG2KBH8F20000","PropagateID":"daipljk8k36dhc750sf0-1a0b7e70-0c02-85d8-8000-0923a27389c5-20260930192649","ReservedCode2":""}</vt:lpwstr>
  </property>
</Properties>
</file>