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3ea1a2de981df49d189a394cf6d7b51df8e68b3"/>
    <w:p>
      <w:pPr>
        <w:pStyle w:val="1"/>
      </w:pPr>
      <w:r>
        <w:t xml:space="preserve">Distillation Experiment Design — Spec-Parse AI for Production Run Calculator</w:t>
      </w:r>
    </w:p>
    <w:p>
      <w:pPr>
        <w:pStyle w:val="FirstParagraph"/>
      </w:pPr>
      <w:r>
        <w:rPr>
          <w:b/>
          <w:bCs/>
        </w:rPr>
        <w:t xml:space="preserve">Date:</w:t>
      </w:r>
      <w:r>
        <w:t xml:space="preserve"> </w:t>
      </w:r>
      <w:r>
        <w:t xml:space="preserve">2026-09-28</w:t>
      </w:r>
      <w:r>
        <w:t xml:space="preserve"> </w:t>
      </w:r>
      <w:r>
        <w:rPr>
          <w:b/>
          <w:bCs/>
        </w:rPr>
        <w:t xml:space="preserve">Inputs:</w:t>
      </w:r>
      <w:r>
        <w:t xml:space="preserve"> </w:t>
      </w:r>
      <w:r>
        <w:rPr>
          <w:rStyle w:val="VerbatimChar"/>
        </w:rPr>
        <w:t xml:space="preserve">how-to-build-an-ai-research-2026-09-28.md</w:t>
      </w:r>
      <w:r>
        <w:t xml:space="preserve"> </w:t>
      </w:r>
      <w:r>
        <w:t xml:space="preserve">(general build research),</w:t>
      </w:r>
      <w:r>
        <w:t xml:space="preserve"> </w:t>
      </w:r>
      <w:r>
        <w:rPr>
          <w:rStyle w:val="VerbatimChar"/>
        </w:rPr>
        <w:t xml:space="preserve">how-to-build-ai-research-2026-09-28.md</w:t>
      </w:r>
      <w:r>
        <w:t xml:space="preserve"> </w:t>
      </w:r>
      <w:r>
        <w:t xml:space="preserve">(application-layer pack),</w:t>
      </w:r>
      <w:r>
        <w:t xml:space="preserve"> </w:t>
      </w:r>
      <w:r>
        <w:rPr>
          <w:rStyle w:val="VerbatimChar"/>
        </w:rPr>
        <w:t xml:space="preserve">ai-tailored-to-app-research-2026-09-28.md</w:t>
      </w:r>
      <w:r>
        <w:t xml:space="preserve"> </w:t>
      </w:r>
      <w:r>
        <w:t xml:space="preserve">(project-tailored constraints), Option B self-hosted deep dive, PR #81 context, 2026-09-05 AI value audit.</w:t>
      </w:r>
      <w:r>
        <w:t xml:space="preserve"> </w:t>
      </w:r>
      <w:r>
        <w:rPr>
          <w:b/>
          <w:bCs/>
        </w:rPr>
        <w:t xml:space="preserve">Research question:</w:t>
      </w:r>
      <w:r>
        <w:t xml:space="preserve"> </w:t>
      </w:r>
      <w:r>
        <w:t xml:space="preserve">If (and only if) the Option B benchmark trigger fires, what exactly do we build, in what order, with what data, and how do we prove it worked?</w:t>
      </w:r>
    </w:p>
    <w:bookmarkStart w:id="20" w:name="X47fd3e2750e8a38806db83a6e97189014905a2a"/>
    <w:p>
      <w:pPr>
        <w:pStyle w:val="2"/>
      </w:pPr>
      <w:r>
        <w:t xml:space="preserve">Part 1 — Reconciling the three research docs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Tension</w:t>
            </w:r>
          </w:p>
        </w:tc>
        <w:tc>
          <w:tcPr/>
          <w:p>
            <w:pPr>
              <w:pStyle w:val="Compact"/>
              <w:jc w:val="left"/>
            </w:pPr>
            <w:r>
              <w:t xml:space="preserve">Resolution</w:t>
            </w:r>
          </w:p>
        </w:tc>
      </w:tr>
      <w:tr>
        <w:tc>
          <w:tcPr/>
          <w:p>
            <w:pPr>
              <w:pStyle w:val="Compact"/>
              <w:jc w:val="left"/>
            </w:pPr>
            <w:r>
              <w:t xml:space="preserve">Tailored doc:</w:t>
            </w:r>
            <w:r>
              <w:t xml:space="preserve"> </w:t>
            </w:r>
            <w:r>
              <w:t xml:space="preserve">“</w:t>
            </w:r>
            <w:r>
              <w:t xml:space="preserve">Fine-tune: low priority; extraction corpus + correction memory beats fine-tune</w:t>
            </w:r>
            <w:r>
              <w:t xml:space="preserve"> </w:t>
            </w:r>
            <w:r>
              <w:rPr>
                <w:b/>
                <w:bCs/>
              </w:rPr>
              <w:t xml:space="preserve">for now</w:t>
            </w:r>
            <w:r>
              <w:t xml:space="preserve">”</w:t>
            </w:r>
            <w:r>
              <w:t xml:space="preserve"> </w:t>
            </w:r>
            <w:r>
              <w:t xml:space="preserve">vs. my memo: distillation is the convergence path</w:t>
            </w:r>
          </w:p>
        </w:tc>
        <w:tc>
          <w:tcPr/>
          <w:p>
            <w:pPr>
              <w:pStyle w:val="Compact"/>
              <w:jc w:val="left"/>
            </w:pPr>
            <w:r>
              <w:rPr>
                <w:b/>
                <w:bCs/>
              </w:rPr>
              <w:t xml:space="preserve">Both correct, different clocks.</w:t>
            </w:r>
            <w:r>
              <w:t xml:space="preserve"> </w:t>
            </w:r>
            <w:r>
              <w:t xml:space="preserve">Dataset curation is Phase E extraction-quality work (allowed now, no GPU needed). Training waits for the benchmark trigger (local base model trails Gemini). This memo defines the dataset work that starts immediately and the training work that starts conditionally.</w:t>
            </w:r>
          </w:p>
        </w:tc>
      </w:tr>
      <w:tr>
        <w:tc>
          <w:tcPr/>
          <w:p>
            <w:pPr>
              <w:pStyle w:val="Compact"/>
              <w:jc w:val="left"/>
            </w:pPr>
            <w:r>
              <w:t xml:space="preserve">General pack §10:</w:t>
            </w:r>
            <w:r>
              <w:t xml:space="preserve"> </w:t>
            </w:r>
            <w:r>
              <w:t xml:space="preserve">“</w:t>
            </w:r>
            <w:r>
              <w:t xml:space="preserve">The app already uses OpenAI (import / model chain)</w:t>
            </w:r>
            <w:r>
              <w:t xml:space="preserve">”</w:t>
            </w:r>
          </w:p>
        </w:tc>
        <w:tc>
          <w:tcPr/>
          <w:p>
            <w:pPr>
              <w:pStyle w:val="Compact"/>
              <w:jc w:val="left"/>
            </w:pPr>
            <w:r>
              <w:rPr>
                <w:b/>
                <w:bCs/>
              </w:rPr>
              <w:t xml:space="preserve">Outdated.</w:t>
            </w:r>
            <w:r>
              <w:t xml:space="preserve"> </w:t>
            </w:r>
            <w:r>
              <w:t xml:space="preserve">PR #81 switched production to</w:t>
            </w:r>
            <w:r>
              <w:t xml:space="preserve"> </w:t>
            </w:r>
            <w:r>
              <w:rPr>
                <w:rStyle w:val="VerbatimChar"/>
              </w:rPr>
              <w:t xml:space="preserve">gemini-3.6-flash</w:t>
            </w:r>
            <w:r>
              <w:t xml:space="preserve"> </w:t>
            </w:r>
            <w:r>
              <w:t xml:space="preserve">via Replit integration; the</w:t>
            </w:r>
            <w:r>
              <w:t xml:space="preserve"> </w:t>
            </w:r>
            <w:r>
              <w:rPr>
                <w:rStyle w:val="VerbatimChar"/>
              </w:rPr>
              <w:t xml:space="preserve">openai</w:t>
            </w:r>
            <w:r>
              <w:t xml:space="preserve"> </w:t>
            </w:r>
            <w:r>
              <w:t xml:space="preserve">npm package is present but unused (until the Option B adapter swap). Correct the pack if it goes into</w:t>
            </w:r>
            <w:r>
              <w:t xml:space="preserve"> </w:t>
            </w:r>
            <w:r>
              <w:rPr>
                <w:rStyle w:val="VerbatimChar"/>
              </w:rPr>
              <w:t xml:space="preserve">docs/</w:t>
            </w:r>
            <w:r>
              <w:t xml:space="preserve">.</w:t>
            </w:r>
          </w:p>
        </w:tc>
      </w:tr>
      <w:tr>
        <w:tc>
          <w:tcPr/>
          <w:p>
            <w:pPr>
              <w:pStyle w:val="Compact"/>
              <w:jc w:val="left"/>
            </w:pPr>
            <w:r>
              <w:t xml:space="preserve">Tailored doc rank #7:</w:t>
            </w:r>
            <w:r>
              <w:t xml:space="preserve"> </w:t>
            </w:r>
            <w:r>
              <w:t xml:space="preserve">“</w:t>
            </w:r>
            <w:r>
              <w:t xml:space="preserve">Packaging/sauce plan proposals — agent-lite + calculators</w:t>
            </w:r>
            <w:r>
              <w:t xml:space="preserve">”</w:t>
            </w:r>
          </w:p>
        </w:tc>
        <w:tc>
          <w:tcPr/>
          <w:p>
            <w:pPr>
              <w:pStyle w:val="Compact"/>
              <w:jc w:val="left"/>
            </w:pPr>
            <w:r>
              <w:rPr>
                <w:b/>
                <w:bCs/>
              </w:rPr>
              <w:t xml:space="preserve">Conflicts with the audit</w:t>
            </w:r>
            <w:r>
              <w:t xml:space="preserve"> </w:t>
            </w:r>
            <w:r>
              <w:t xml:space="preserve">(smart scheduling scored Retire, overlap 5/5). Hold per the tailored doc’s own decision standard §10: if it narrates numbers</w:t>
            </w:r>
            <w:r>
              <w:t xml:space="preserve"> </w:t>
            </w:r>
            <w:r>
              <w:rPr>
                <w:rStyle w:val="VerbatimChar"/>
              </w:rPr>
              <w:t xml:space="preserve">lib/live-calc</w:t>
            </w:r>
            <w:r>
              <w:t xml:space="preserve"> </w:t>
            </w:r>
            <w:r>
              <w:t xml:space="preserve">computes, reject. Re-scope as deterministic proposals before any agent framing.</w:t>
            </w:r>
          </w:p>
        </w:tc>
      </w:tr>
      <w:tr>
        <w:tc>
          <w:tcPr/>
          <w:p>
            <w:pPr>
              <w:pStyle w:val="Compact"/>
              <w:jc w:val="left"/>
            </w:pPr>
            <w:r>
              <w:t xml:space="preserve">General pack: agents/RAG as natural next features vs. audit Retire verdicts</w:t>
            </w:r>
          </w:p>
        </w:tc>
        <w:tc>
          <w:tcPr/>
          <w:p>
            <w:pPr>
              <w:pStyle w:val="Compact"/>
              <w:jc w:val="left"/>
            </w:pPr>
            <w:r>
              <w:t xml:space="preserve">The pack is generic; the audit is authoritative for this app. The tailored doc’s ranked table (§5) is the governing feature list.</w:t>
            </w:r>
          </w:p>
        </w:tc>
      </w:tr>
    </w:tbl>
    <w:bookmarkEnd w:id="20"/>
    <w:bookmarkStart w:id="21" w:name="Xf65df15713be532c477acf45749ff2925936535"/>
    <w:p>
      <w:pPr>
        <w:pStyle w:val="2"/>
      </w:pPr>
      <w:r>
        <w:t xml:space="preserve">Part 2 — Method selection: sequence-level distillation, not logit-level</w:t>
      </w:r>
    </w:p>
    <w:p>
      <w:pPr>
        <w:pStyle w:val="FirstParagraph"/>
      </w:pPr>
      <w:r>
        <w:t xml:space="preserve">The literature distinguishes two families:</w:t>
      </w:r>
    </w:p>
    <w:p>
      <w:pPr>
        <w:pStyle w:val="Compact"/>
        <w:numPr>
          <w:ilvl w:val="0"/>
          <w:numId w:val="1001"/>
        </w:numPr>
      </w:pPr>
      <w:r>
        <w:rPr>
          <w:b/>
          <w:bCs/>
        </w:rPr>
        <w:t xml:space="preserve">Logit-level KD</w:t>
      </w:r>
      <w:r>
        <w:t xml:space="preserve"> </w:t>
      </w:r>
      <w:r>
        <w:t xml:space="preserve">(DistilBERT/TinyBERT-style, soft labels over the vocabulary): needs the teacher’s output distributions — impossible here (teacher is a remote Gemini API; storing top-k logits per token for thousands of examples is a large, fragile artifact) and unnecessary (the teacher must be</w:t>
      </w:r>
      <w:r>
        <w:t xml:space="preserve"> </w:t>
      </w:r>
      <w:r>
        <w:rPr>
          <w:i/>
          <w:iCs/>
        </w:rPr>
        <w:t xml:space="preserve">substantially larger</w:t>
      </w:r>
      <w:r>
        <w:t xml:space="preserve"> </w:t>
      </w:r>
      <w:r>
        <w:t xml:space="preserve">than the student to pay off — a 2–4× parameter ratio is the typical starting point; our gap is modest).</w:t>
      </w:r>
    </w:p>
    <w:p>
      <w:pPr>
        <w:pStyle w:val="Compact"/>
        <w:numPr>
          <w:ilvl w:val="0"/>
          <w:numId w:val="1001"/>
        </w:numPr>
      </w:pPr>
      <w:r>
        <w:rPr>
          <w:b/>
          <w:bCs/>
        </w:rPr>
        <w:t xml:space="preserve">Sequence-level / instruction distillation</w:t>
      </w:r>
      <w:r>
        <w:t xml:space="preserve"> </w:t>
      </w:r>
      <w:r>
        <w:t xml:space="preserve">(Alpaca-style: train the student on the teacher’s generated outputs): proven, cheap, and exactly matches our asset shape — the corpus harness already produces teacher outputs in a structured schema.</w:t>
      </w:r>
    </w:p>
    <w:p>
      <w:pPr>
        <w:pStyle w:val="FirstParagraph"/>
      </w:pPr>
      <w:r>
        <w:rPr>
          <w:b/>
          <w:bCs/>
        </w:rPr>
        <w:t xml:space="preserve">Decision: sequence-level distillation via QLoRA on</w:t>
      </w:r>
      <w:r>
        <w:rPr>
          <w:b/>
          <w:bCs/>
        </w:rPr>
        <w:t xml:space="preserve"> </w:t>
      </w:r>
      <w:r>
        <w:rPr>
          <w:rStyle w:val="VerbatimChar"/>
          <w:b/>
          <w:bCs/>
        </w:rPr>
        <w:t xml:space="preserve">qwen3:8b</w:t>
      </w:r>
      <w:r>
        <w:t xml:space="preserve"> </w:t>
      </w:r>
      <w:r>
        <w:t xml:space="preserve">(8B chosen over 14B: QLoRA trains on a 24GB local card — no rental dependency — and 8B Q4 serves faster on the same GPU budget; benchmark decides if 14B student is needed). Optional enrichment per Orca/</w:t>
      </w:r>
      <w:r>
        <w:t xml:space="preserve">“</w:t>
      </w:r>
      <w:r>
        <w:t xml:space="preserve">distilling step-by-step</w:t>
      </w:r>
      <w:r>
        <w:t xml:space="preserve">”</w:t>
      </w:r>
      <w:r>
        <w:t xml:space="preserve">: include the teacher’s per-field rationale traces in training data — but only if the eval shows the student failing on</w:t>
      </w:r>
      <w:r>
        <w:t xml:space="preserve"> </w:t>
      </w:r>
      <w:r>
        <w:rPr>
          <w:i/>
          <w:iCs/>
        </w:rPr>
        <w:t xml:space="preserve">why</w:t>
      </w:r>
      <w:r>
        <w:t xml:space="preserve">-independent form errors; skip by default.</w:t>
      </w:r>
    </w:p>
    <w:p>
      <w:pPr>
        <w:pStyle w:val="a0"/>
      </w:pPr>
      <w:r>
        <w:t xml:space="preserve">Reference points from research: students typically retain 90–95% of teacher performance at 5–10× smaller size; task-specific distillation with 1–5K examples is the established small-team regime; medical summarization distillation (13B teacher → 770M student) cut hallucinations 18%→6% on the narrow task — the narrowness, not the size, is what makes it work.</w:t>
      </w:r>
    </w:p>
    <w:bookmarkEnd w:id="21"/>
    <w:bookmarkStart w:id="27" w:name="X180978d99d7bbbc2e50bb4ed872a3e31f47d79e"/>
    <w:p>
      <w:pPr>
        <w:pStyle w:val="2"/>
      </w:pPr>
      <w:r>
        <w:t xml:space="preserve">Part 3 — Dataset design (the real work; starts NOW)</w:t>
      </w:r>
    </w:p>
    <w:p>
      <w:pPr>
        <w:pStyle w:val="FirstParagraph"/>
      </w:pPr>
      <w:r>
        <w:t xml:space="preserve">The 2026 consensus:</w:t>
      </w:r>
      <w:r>
        <w:t xml:space="preserve"> </w:t>
      </w:r>
      <w:r>
        <w:rPr>
          <w:b/>
          <w:bCs/>
        </w:rPr>
        <w:t xml:space="preserve">data curation, not compute, is the cost.</w:t>
      </w:r>
      <w:r>
        <w:t xml:space="preserve"> </w:t>
      </w:r>
      <w:r>
        <w:t xml:space="preserve">Label errors average ~3.3% in audited benchmarks and</w:t>
      </w:r>
      <w:r>
        <w:t xml:space="preserve"> </w:t>
      </w:r>
      <w:r>
        <w:rPr>
          <w:i/>
          <w:iCs/>
        </w:rPr>
        <w:t xml:space="preserve">change rankings</w:t>
      </w:r>
      <w:r>
        <w:t xml:space="preserve"> </w:t>
      </w:r>
      <w:r>
        <w:t xml:space="preserve">(Northcutt et al.); contamination from train/eval overlap inflates scores silently (Schaeffer et al. 2026). Our design absorbs both findings.</w:t>
      </w:r>
    </w:p>
    <w:bookmarkStart w:id="22" w:name="Xb2d9d7dd858b088e6d8569080c79d8694cb4b64"/>
    <w:p>
      <w:pPr>
        <w:pStyle w:val="3"/>
      </w:pPr>
      <w:r>
        <w:t xml:space="preserve">3.1 Three distinct artifacts — do not conflate (per Kili/golden-dataset research)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Artifact</w:t>
            </w:r>
          </w:p>
        </w:tc>
        <w:tc>
          <w:tcPr/>
          <w:p>
            <w:pPr>
              <w:pStyle w:val="Compact"/>
              <w:jc w:val="left"/>
            </w:pPr>
            <w:r>
              <w:t xml:space="preserve">Purpose</w:t>
            </w:r>
          </w:p>
        </w:tc>
        <w:tc>
          <w:tcPr/>
          <w:p>
            <w:pPr>
              <w:pStyle w:val="Compact"/>
              <w:jc w:val="left"/>
            </w:pPr>
            <w:r>
              <w:t xml:space="preserve">Contents</w:t>
            </w:r>
          </w:p>
        </w:tc>
        <w:tc>
          <w:tcPr/>
          <w:p>
            <w:pPr>
              <w:pStyle w:val="Compact"/>
              <w:jc w:val="left"/>
            </w:pPr>
            <w:r>
              <w:t xml:space="preserve">Size</w:t>
            </w:r>
          </w:p>
        </w:tc>
      </w:tr>
      <w:tr>
        <w:tc>
          <w:tcPr/>
          <w:p>
            <w:pPr>
              <w:pStyle w:val="Compact"/>
              <w:jc w:val="left"/>
            </w:pPr>
            <w:r>
              <w:rPr>
                <w:b/>
                <w:bCs/>
              </w:rPr>
              <w:t xml:space="preserve">Training set</w:t>
            </w:r>
          </w:p>
        </w:tc>
        <w:tc>
          <w:tcPr/>
          <w:p>
            <w:pPr>
              <w:pStyle w:val="Compact"/>
              <w:jc w:val="left"/>
            </w:pPr>
            <w:r>
              <w:t xml:space="preserve">Teach the form</w:t>
            </w:r>
          </w:p>
        </w:tc>
        <w:tc>
          <w:tcPr/>
          <w:p>
            <w:pPr>
              <w:pStyle w:val="Compact"/>
              <w:jc w:val="left"/>
            </w:pPr>
            <w:r>
              <w:t xml:space="preserve">Workbook chunks + verified teacher outputs (schema-conformant)</w:t>
            </w:r>
          </w:p>
        </w:tc>
        <w:tc>
          <w:tcPr/>
          <w:p>
            <w:pPr>
              <w:pStyle w:val="Compact"/>
              <w:jc w:val="left"/>
            </w:pPr>
            <w:r>
              <w:t xml:space="preserve">1,500–5,000 examples</w:t>
            </w:r>
          </w:p>
        </w:tc>
      </w:tr>
      <w:tr>
        <w:tc>
          <w:tcPr/>
          <w:p>
            <w:pPr>
              <w:pStyle w:val="Compact"/>
              <w:jc w:val="left"/>
            </w:pPr>
            <w:r>
              <w:rPr>
                <w:b/>
                <w:bCs/>
              </w:rPr>
              <w:t xml:space="preserve">Dev/eval set</w:t>
            </w:r>
          </w:p>
        </w:tc>
        <w:tc>
          <w:tcPr/>
          <w:p>
            <w:pPr>
              <w:pStyle w:val="Compact"/>
              <w:jc w:val="left"/>
            </w:pPr>
            <w:r>
              <w:t xml:space="preserve">Iterate during development</w:t>
            </w:r>
          </w:p>
        </w:tc>
        <w:tc>
          <w:tcPr/>
          <w:p>
            <w:pPr>
              <w:pStyle w:val="Compact"/>
              <w:jc w:val="left"/>
            </w:pPr>
            <w:r>
              <w:t xml:space="preserve">Held-out workbooks, gold fields</w:t>
            </w:r>
          </w:p>
        </w:tc>
        <w:tc>
          <w:tcPr/>
          <w:p>
            <w:pPr>
              <w:pStyle w:val="Compact"/>
              <w:jc w:val="left"/>
            </w:pPr>
            <w:r>
              <w:t xml:space="preserve">100–200 examples</w:t>
            </w:r>
          </w:p>
        </w:tc>
      </w:tr>
      <w:tr>
        <w:tc>
          <w:tcPr/>
          <w:p>
            <w:pPr>
              <w:pStyle w:val="Compact"/>
              <w:jc w:val="left"/>
            </w:pPr>
            <w:r>
              <w:rPr>
                <w:b/>
                <w:bCs/>
              </w:rPr>
              <w:t xml:space="preserve">Never-look holdout</w:t>
            </w:r>
          </w:p>
        </w:tc>
        <w:tc>
          <w:tcPr/>
          <w:p>
            <w:pPr>
              <w:pStyle w:val="Compact"/>
              <w:jc w:val="left"/>
            </w:pPr>
            <w:r>
              <w:t xml:space="preserve">Final gate before merge</w:t>
            </w:r>
          </w:p>
        </w:tc>
        <w:tc>
          <w:tcPr/>
          <w:p>
            <w:pPr>
              <w:pStyle w:val="Compact"/>
              <w:jc w:val="left"/>
            </w:pPr>
            <w:r>
              <w:t xml:space="preserve">Workbooks never inspected during iteration</w:t>
            </w:r>
          </w:p>
        </w:tc>
        <w:tc>
          <w:tcPr/>
          <w:p>
            <w:pPr>
              <w:pStyle w:val="Compact"/>
              <w:jc w:val="left"/>
            </w:pPr>
            <w:r>
              <w:t xml:space="preserve">50–100 examples</w:t>
            </w:r>
          </w:p>
        </w:tc>
      </w:tr>
    </w:tbl>
    <w:p>
      <w:pPr>
        <w:pStyle w:val="a0"/>
      </w:pPr>
      <w:r>
        <w:t xml:space="preserve">The existing</w:t>
      </w:r>
      <w:r>
        <w:t xml:space="preserve"> </w:t>
      </w:r>
      <w:r>
        <w:rPr>
          <w:rStyle w:val="VerbatimChar"/>
        </w:rPr>
        <w:t xml:space="preserve">lib/corpus-harness</w:t>
      </w:r>
      <w:r>
        <w:t xml:space="preserve"> </w:t>
      </w:r>
      <w:r>
        <w:t xml:space="preserve">snapshots are the seed of the eval artifacts — but</w:t>
      </w:r>
      <w:r>
        <w:t xml:space="preserve"> </w:t>
      </w:r>
      <w:r>
        <w:rPr>
          <w:b/>
          <w:bCs/>
        </w:rPr>
        <w:t xml:space="preserve">the corpus used to gate Gemini is not automatically the right training set</w:t>
      </w:r>
      <w:r>
        <w:t xml:space="preserve">. Split by</w:t>
      </w:r>
      <w:r>
        <w:t xml:space="preserve"> </w:t>
      </w:r>
      <w:r>
        <w:rPr>
          <w:b/>
          <w:bCs/>
        </w:rPr>
        <w:t xml:space="preserve">workbook brand</w:t>
      </w:r>
      <w:r>
        <w:t xml:space="preserve"> </w:t>
      </w:r>
      <w:r>
        <w:t xml:space="preserve">(group split), so the holdout measures generalization to unseen file layouts, not memorized layouts.</w:t>
      </w:r>
    </w:p>
    <w:bookmarkEnd w:id="22"/>
    <w:bookmarkStart w:id="23" w:name="Xd861912879af4835a136a58fab085e77a0ecfd0"/>
    <w:p>
      <w:pPr>
        <w:pStyle w:val="3"/>
      </w:pPr>
      <w:r>
        <w:t xml:space="preserve">3.2 Label verification — the anti-poisoning rule</w:t>
      </w:r>
    </w:p>
    <w:p>
      <w:pPr>
        <w:pStyle w:val="FirstParagraph"/>
      </w:pPr>
      <w:r>
        <w:t xml:space="preserve">Teacher outputs are training labels only when at least one holds:</w:t>
      </w:r>
      <w:r>
        <w:t xml:space="preserve"> </w:t>
      </w:r>
      <w:r>
        <w:t xml:space="preserve">1.</w:t>
      </w:r>
      <w:r>
        <w:t xml:space="preserve"> </w:t>
      </w:r>
      <w:r>
        <w:rPr>
          <w:b/>
          <w:bCs/>
        </w:rPr>
        <w:t xml:space="preserve">Deterministic agreement</w:t>
      </w:r>
      <w:r>
        <w:t xml:space="preserve">: the deterministic import path produced the same field values (the deterministic layer is the app’s ground truth).</w:t>
      </w:r>
      <w:r>
        <w:t xml:space="preserve"> </w:t>
      </w:r>
      <w:r>
        <w:t xml:space="preserve">2.</w:t>
      </w:r>
      <w:r>
        <w:t xml:space="preserve"> </w:t>
      </w:r>
      <w:r>
        <w:rPr>
          <w:b/>
          <w:bCs/>
        </w:rPr>
        <w:t xml:space="preserve">Human acceptance</w:t>
      </w:r>
      <w:r>
        <w:t xml:space="preserve">: the output passed through the review/apply flow and a human clicked Apply (the audit’s sanctioned pattern — metadata-only retention makes this cheap to verify).</w:t>
      </w:r>
    </w:p>
    <w:p>
      <w:pPr>
        <w:pStyle w:val="a0"/>
      </w:pPr>
      <w:r>
        <w:t xml:space="preserve">Everything else (raw teacher output, rejected proposals) goes to a quarantine file for review, not to training. This is how correction memory becomes a dataset flywheel: every accepted correction is a future verified training example.</w:t>
      </w:r>
    </w:p>
    <w:bookmarkEnd w:id="23"/>
    <w:bookmarkStart w:id="24" w:name="X4d37ac8265dd587db39570a3e1d1c28aff95876"/>
    <w:p>
      <w:pPr>
        <w:pStyle w:val="3"/>
      </w:pPr>
      <w:r>
        <w:t xml:space="preserve">3.3 Leakage controls (from the golden-dataset literature)</w:t>
      </w:r>
    </w:p>
    <w:p>
      <w:pPr>
        <w:pStyle w:val="Compact"/>
        <w:numPr>
          <w:ilvl w:val="0"/>
          <w:numId w:val="1002"/>
        </w:numPr>
      </w:pPr>
      <w:r>
        <w:t xml:space="preserve">Group split by brand; no brand in two partitions.</w:t>
      </w:r>
    </w:p>
    <w:p>
      <w:pPr>
        <w:pStyle w:val="Compact"/>
        <w:numPr>
          <w:ilvl w:val="0"/>
          <w:numId w:val="1002"/>
        </w:numPr>
      </w:pPr>
      <w:r>
        <w:t xml:space="preserve">Near-duplicate scan (e.g., difflib ratio &gt; 0.85) between training inputs and both eval partitions — run in CI on dataset PRs.</w:t>
      </w:r>
    </w:p>
    <w:p>
      <w:pPr>
        <w:pStyle w:val="Compact"/>
        <w:numPr>
          <w:ilvl w:val="0"/>
          <w:numId w:val="1002"/>
        </w:numPr>
      </w:pPr>
      <w:r>
        <w:t xml:space="preserve">Few-shot examples (if any) come from a separate pool.</w:t>
      </w:r>
    </w:p>
    <w:p>
      <w:pPr>
        <w:pStyle w:val="Compact"/>
        <w:numPr>
          <w:ilvl w:val="0"/>
          <w:numId w:val="1002"/>
        </w:numPr>
      </w:pPr>
      <w:r>
        <w:t xml:space="preserve">The never-look holdout is checked</w:t>
      </w:r>
      <w:r>
        <w:t xml:space="preserve"> </w:t>
      </w:r>
      <w:r>
        <w:rPr>
          <w:b/>
          <w:bCs/>
        </w:rPr>
        <w:t xml:space="preserve">once</w:t>
      </w:r>
      <w:r>
        <w:t xml:space="preserve">, at the merge gate, not during iteration.</w:t>
      </w:r>
    </w:p>
    <w:p>
      <w:pPr>
        <w:pStyle w:val="Compact"/>
        <w:numPr>
          <w:ilvl w:val="0"/>
          <w:numId w:val="1002"/>
        </w:numPr>
      </w:pPr>
      <w:r>
        <w:t xml:space="preserve">Synthetic augmentation, if ever used, must come from the teacher (never from the student being evaluated).</w:t>
      </w:r>
    </w:p>
    <w:bookmarkEnd w:id="24"/>
    <w:bookmarkStart w:id="25" w:name="privacy-per-audit-retention-pattern"/>
    <w:p>
      <w:pPr>
        <w:pStyle w:val="3"/>
      </w:pPr>
      <w:r>
        <w:t xml:space="preserve">3.4 Privacy (per audit retention pattern)</w:t>
      </w:r>
    </w:p>
    <w:p>
      <w:pPr>
        <w:pStyle w:val="Compact"/>
        <w:numPr>
          <w:ilvl w:val="0"/>
          <w:numId w:val="1003"/>
        </w:numPr>
      </w:pPr>
      <w:r>
        <w:t xml:space="preserve">Training inputs are real customer workbooks: keep the dataset in a private location, never in the public repo. The repo carries only a manifest (hash, brand code, partition, verification status) — same metadata-only discipline as the corpus evidence.</w:t>
      </w:r>
    </w:p>
    <w:p>
      <w:pPr>
        <w:pStyle w:val="Compact"/>
        <w:numPr>
          <w:ilvl w:val="0"/>
          <w:numId w:val="1003"/>
        </w:numPr>
      </w:pPr>
      <w:r>
        <w:t xml:space="preserve">Redact: supplier names, prices, contact info where they don’t affect extraction form (keep</w:t>
      </w:r>
      <w:r>
        <w:t xml:space="preserve"> </w:t>
      </w:r>
      <w:r>
        <w:rPr>
          <w:i/>
          <w:iCs/>
        </w:rPr>
        <w:t xml:space="preserve">structure</w:t>
      </w:r>
      <w:r>
        <w:t xml:space="preserve">, remove</w:t>
      </w:r>
      <w:r>
        <w:t xml:space="preserve"> </w:t>
      </w:r>
      <w:r>
        <w:rPr>
          <w:i/>
          <w:iCs/>
        </w:rPr>
        <w:t xml:space="preserve">content</w:t>
      </w:r>
      <w:r>
        <w:t xml:space="preserve"> </w:t>
      </w:r>
      <w:r>
        <w:t xml:space="preserve">where possible; the task is layout→schema, and layout survives redaction).</w:t>
      </w:r>
    </w:p>
    <w:p>
      <w:pPr>
        <w:pStyle w:val="Compact"/>
        <w:numPr>
          <w:ilvl w:val="0"/>
          <w:numId w:val="1003"/>
        </w:numPr>
      </w:pPr>
      <w:r>
        <w:rPr>
          <w:rStyle w:val="VerbatimChar"/>
        </w:rPr>
        <w:t xml:space="preserve">SPEC_PARSE_VERSION</w:t>
      </w:r>
      <w:r>
        <w:t xml:space="preserve"> </w:t>
      </w:r>
      <w:r>
        <w:t xml:space="preserve">and the corpus manifest’s</w:t>
      </w:r>
      <w:r>
        <w:t xml:space="preserve"> </w:t>
      </w:r>
      <w:r>
        <w:rPr>
          <w:rStyle w:val="VerbatimChar"/>
        </w:rPr>
        <w:t xml:space="preserve">pnpmLockSha256</w:t>
      </w:r>
      <w:r>
        <w:t xml:space="preserve"> </w:t>
      </w:r>
      <w:r>
        <w:t xml:space="preserve">discipline apply to the dataset manifest too.</w:t>
      </w:r>
    </w:p>
    <w:bookmarkEnd w:id="25"/>
    <w:bookmarkStart w:id="26" w:name="dataset-schema"/>
    <w:p>
      <w:pPr>
        <w:pStyle w:val="3"/>
      </w:pPr>
      <w:r>
        <w:t xml:space="preserve">3.5 Dataset schema</w:t>
      </w:r>
    </w:p>
    <w:p>
      <w:pPr>
        <w:pStyle w:val="SourceCode"/>
      </w:pPr>
      <w:r>
        <w:rPr>
          <w:rStyle w:val="VerbatimChar"/>
        </w:rPr>
        <w:t xml:space="preserve">{"id": "brandA-spec-014-chunk03", "partition": "train", "verified": "deterministic-agreement",</w:t>
      </w:r>
      <w:r>
        <w:br/>
      </w:r>
      <w:r>
        <w:rPr>
          <w:rStyle w:val="VerbatimChar"/>
        </w:rPr>
        <w:t xml:space="preserve"> "messages": [</w:t>
      </w:r>
      <w:r>
        <w:br/>
      </w:r>
      <w:r>
        <w:rPr>
          <w:rStyle w:val="VerbatimChar"/>
        </w:rPr>
        <w:t xml:space="preserve">   {"role": "system", "content": "&lt;the exact production spec-parse system prompt, pinned&gt;"},</w:t>
      </w:r>
      <w:r>
        <w:br/>
      </w:r>
      <w:r>
        <w:rPr>
          <w:rStyle w:val="VerbatimChar"/>
        </w:rPr>
        <w:t xml:space="preserve">   {"role": "user", "content": "&lt;workbook chunk text, redacted&gt;"},</w:t>
      </w:r>
      <w:r>
        <w:br/>
      </w:r>
      <w:r>
        <w:rPr>
          <w:rStyle w:val="VerbatimChar"/>
        </w:rPr>
        <w:t xml:space="preserve">   {"role": "assistant", "content": "&lt;schema-conformant JSON output&gt;"}</w:t>
      </w:r>
      <w:r>
        <w:br/>
      </w:r>
      <w:r>
        <w:rPr>
          <w:rStyle w:val="VerbatimChar"/>
        </w:rPr>
        <w:t xml:space="preserve"> ]}</w:t>
      </w:r>
    </w:p>
    <w:p>
      <w:pPr>
        <w:pStyle w:val="FirstParagraph"/>
      </w:pPr>
      <w:r>
        <w:t xml:space="preserve">System prompt and output schema must be byte-identical to production parsing (via</w:t>
      </w:r>
      <w:r>
        <w:t xml:space="preserve"> </w:t>
      </w:r>
      <w:r>
        <w:rPr>
          <w:rStyle w:val="VerbatimChar"/>
        </w:rPr>
        <w:t xml:space="preserve">LOCAL_AI_BASE_URL</w:t>
      </w:r>
      <w:r>
        <w:t xml:space="preserve"> </w:t>
      </w:r>
      <w:r>
        <w:t xml:space="preserve">at inference) — the fine-tune locks</w:t>
      </w:r>
      <w:r>
        <w:t xml:space="preserve"> </w:t>
      </w:r>
      <w:r>
        <w:rPr>
          <w:i/>
          <w:iCs/>
        </w:rPr>
        <w:t xml:space="preserve">form</w:t>
      </w:r>
      <w:r>
        <w:t xml:space="preserve">, so the training distribution must be the production distribution.</w:t>
      </w:r>
    </w:p>
    <w:bookmarkEnd w:id="26"/>
    <w:bookmarkEnd w:id="27"/>
    <w:bookmarkStart w:id="28" w:name="Xc4d97fc2b964c7967c62ad880baa26385eb207e"/>
    <w:p>
      <w:pPr>
        <w:pStyle w:val="2"/>
      </w:pPr>
      <w:r>
        <w:t xml:space="preserve">Part 4 — Experiment protocol (conditional on the Option B benchmark trigger)</w:t>
      </w:r>
    </w:p>
    <w:p>
      <w:pPr>
        <w:pStyle w:val="FirstParagraph"/>
      </w:pPr>
      <w:r>
        <w:rPr>
          <w:b/>
          <w:bCs/>
        </w:rPr>
        <w:t xml:space="preserve">Trigger:</w:t>
      </w:r>
      <w:r>
        <w:t xml:space="preserve"> </w:t>
      </w:r>
      <w:r>
        <w:t xml:space="preserve">Phase-0 benchmark shows</w:t>
      </w:r>
      <w:r>
        <w:t xml:space="preserve"> </w:t>
      </w:r>
      <w:r>
        <w:rPr>
          <w:rStyle w:val="VerbatimChar"/>
        </w:rPr>
        <w:t xml:space="preserve">qwen3:14b</w:t>
      </w:r>
      <w:r>
        <w:t xml:space="preserve"> </w:t>
      </w:r>
      <w:r>
        <w:t xml:space="preserve">(base, unprompted-tuned) trailing</w:t>
      </w:r>
      <w:r>
        <w:t xml:space="preserve"> </w:t>
      </w:r>
      <w:r>
        <w:rPr>
          <w:rStyle w:val="VerbatimChar"/>
        </w:rPr>
        <w:t xml:space="preserve">gemini-3.6-flash</w:t>
      </w:r>
      <w:r>
        <w:t xml:space="preserve"> </w:t>
      </w:r>
      <w:r>
        <w:t xml:space="preserve">on spec-parse discrepancy rate beyond the agreed tolerance.</w:t>
      </w:r>
    </w:p>
    <w:p>
      <w:pPr>
        <w:pStyle w:val="Compact"/>
        <w:numPr>
          <w:ilvl w:val="0"/>
          <w:numId w:val="1004"/>
        </w:numPr>
      </w:pPr>
      <w:r>
        <w:rPr>
          <w:b/>
          <w:bCs/>
        </w:rPr>
        <w:t xml:space="preserve">Curate</w:t>
      </w:r>
      <w:r>
        <w:t xml:space="preserve"> </w:t>
      </w:r>
      <w:r>
        <w:t xml:space="preserve">(2–5 days, no GPU): build partitions 3.1, apply 3.2 rules, run 3.3 scans. Target ≥1,500 verified training examples before training.</w:t>
      </w:r>
    </w:p>
    <w:p>
      <w:pPr>
        <w:pStyle w:val="Compact"/>
        <w:numPr>
          <w:ilvl w:val="0"/>
          <w:numId w:val="1004"/>
        </w:numPr>
      </w:pPr>
      <w:r>
        <w:rPr>
          <w:b/>
          <w:bCs/>
        </w:rPr>
        <w:t xml:space="preserve">Train</w:t>
      </w:r>
      <w:r>
        <w:t xml:space="preserve"> </w:t>
      </w:r>
      <w:r>
        <w:t xml:space="preserve">(1 evening, $0–15): QLoRA on 4-bit</w:t>
      </w:r>
      <w:r>
        <w:t xml:space="preserve"> </w:t>
      </w:r>
      <w:r>
        <w:rPr>
          <w:rStyle w:val="VerbatimChar"/>
        </w:rPr>
        <w:t xml:space="preserve">qwen3:8b</w:t>
      </w:r>
      <w:r>
        <w:t xml:space="preserve">, rank 32–64, lr 1e-4–2e-4, 2–3 epochs, Unsloth or TRL; ~2–6h on a 4090/A100.</w:t>
      </w:r>
    </w:p>
    <w:p>
      <w:pPr>
        <w:pStyle w:val="Compact"/>
        <w:numPr>
          <w:ilvl w:val="0"/>
          <w:numId w:val="1004"/>
        </w:numPr>
      </w:pPr>
      <w:r>
        <w:rPr>
          <w:b/>
          <w:bCs/>
        </w:rPr>
        <w:t xml:space="preserve">Evaluate</w:t>
      </w:r>
      <w:r>
        <w:t xml:space="preserve"> </w:t>
      </w:r>
      <w:r>
        <w:t xml:space="preserve">(same day): serve merged GGUF via Ollama behind</w:t>
      </w:r>
      <w:r>
        <w:t xml:space="preserve"> </w:t>
      </w:r>
      <w:r>
        <w:rPr>
          <w:rStyle w:val="VerbatimChar"/>
        </w:rPr>
        <w:t xml:space="preserve">LOCAL_AI_BASE_URL</w:t>
      </w:r>
      <w:r>
        <w:t xml:space="preserve">; run the corpus harness on dev/eval; compare discrepancy rates to the PR #81 Gemini baseline. No merge discussion without the numbers.</w:t>
      </w:r>
    </w:p>
    <w:p>
      <w:pPr>
        <w:pStyle w:val="Compact"/>
        <w:numPr>
          <w:ilvl w:val="0"/>
          <w:numId w:val="1004"/>
        </w:numPr>
      </w:pPr>
      <w:r>
        <w:rPr>
          <w:b/>
          <w:bCs/>
        </w:rPr>
        <w:t xml:space="preserve">Gate</w:t>
      </w:r>
      <w:r>
        <w:t xml:space="preserve"> </w:t>
      </w:r>
      <w:r>
        <w:t xml:space="preserve">(once): never-look holdout run. Document result in the audit doc’s portfolio table +</w:t>
      </w:r>
      <w:r>
        <w:t xml:space="preserve"> </w:t>
      </w:r>
      <w:r>
        <w:rPr>
          <w:rStyle w:val="VerbatimChar"/>
        </w:rPr>
        <w:t xml:space="preserve">check-model-version-bump</w:t>
      </w:r>
      <w:r>
        <w:t xml:space="preserve"> </w:t>
      </w:r>
      <w:r>
        <w:t xml:space="preserve">policy artifact. Bump</w:t>
      </w:r>
      <w:r>
        <w:t xml:space="preserve"> </w:t>
      </w:r>
      <w:r>
        <w:rPr>
          <w:rStyle w:val="VerbatimChar"/>
        </w:rPr>
        <w:t xml:space="preserve">SPEC_PARSE_VERSION</w:t>
      </w:r>
      <w:r>
        <w:t xml:space="preserve"> </w:t>
      </w:r>
      <w:r>
        <w:t xml:space="preserve">(40→41→42 as applicable) to invalidate caches.</w:t>
      </w:r>
    </w:p>
    <w:p>
      <w:pPr>
        <w:pStyle w:val="Compact"/>
        <w:numPr>
          <w:ilvl w:val="0"/>
          <w:numId w:val="1004"/>
        </w:numPr>
      </w:pPr>
      <w:r>
        <w:rPr>
          <w:b/>
          <w:bCs/>
        </w:rPr>
        <w:t xml:space="preserve">Ship</w:t>
      </w:r>
      <w:r>
        <w:t xml:space="preserve"> </w:t>
      </w:r>
      <w:r>
        <w:t xml:space="preserve">through the existing adapter; student model pinned by digest (same supply-chain discipline as everything else).</w:t>
      </w:r>
    </w:p>
    <w:p>
      <w:pPr>
        <w:pStyle w:val="FirstParagraph"/>
      </w:pPr>
      <w:r>
        <w:rPr>
          <w:b/>
          <w:bCs/>
        </w:rPr>
        <w:t xml:space="preserve">Abort criteria:</w:t>
      </w:r>
      <w:r>
        <w:t xml:space="preserve"> </w:t>
      </w:r>
      <w:r>
        <w:t xml:space="preserve">if the student can’t match the base-model-with-good-prompting result, the fine-tune isn’t the bottleneck — the prompt/schema is. Fix that first; do not iterate on training.</w:t>
      </w:r>
    </w:p>
    <w:bookmarkEnd w:id="28"/>
    <w:bookmarkStart w:id="29" w:name="X14c0a0e95d179009d06170a9de02ba3ae6d50e8"/>
    <w:p>
      <w:pPr>
        <w:pStyle w:val="2"/>
      </w:pPr>
      <w:r>
        <w:t xml:space="preserve">Part 5 — What to build now (this week, zero GPU)</w:t>
      </w:r>
    </w:p>
    <w:p>
      <w:pPr>
        <w:pStyle w:val="Compact"/>
        <w:numPr>
          <w:ilvl w:val="0"/>
          <w:numId w:val="1005"/>
        </w:numPr>
      </w:pPr>
      <w:r>
        <w:rPr>
          <w:rStyle w:val="VerbatimChar"/>
        </w:rPr>
        <w:t xml:space="preserve">lib/distill-dataset/</w:t>
      </w:r>
      <w:r>
        <w:t xml:space="preserve"> </w:t>
      </w:r>
      <w:r>
        <w:t xml:space="preserve">workspace: schema (3.5), manifest with partition/verification fields, brand-group split utility, near-dup CI check.</w:t>
      </w:r>
    </w:p>
    <w:p>
      <w:pPr>
        <w:pStyle w:val="Compact"/>
        <w:numPr>
          <w:ilvl w:val="0"/>
          <w:numId w:val="1005"/>
        </w:numPr>
      </w:pPr>
      <w:r>
        <w:t xml:space="preserve">Backfill script: walk existing corpus snapshots + review/apply acceptance logs → verified training examples per rule 3.2.</w:t>
      </w:r>
    </w:p>
    <w:p>
      <w:pPr>
        <w:pStyle w:val="Compact"/>
        <w:numPr>
          <w:ilvl w:val="0"/>
          <w:numId w:val="1005"/>
        </w:numPr>
      </w:pPr>
      <w:r>
        <w:t xml:space="preserve">Privacy redaction pass on candidate workbooks.</w:t>
      </w:r>
    </w:p>
    <w:p>
      <w:pPr>
        <w:pStyle w:val="Compact"/>
        <w:numPr>
          <w:ilvl w:val="0"/>
          <w:numId w:val="1005"/>
        </w:numPr>
      </w:pPr>
      <w:r>
        <w:t xml:space="preserve">Hold the general research pack’s corrections (Part 1) if these docs land in</w:t>
      </w:r>
      <w:r>
        <w:t xml:space="preserve"> </w:t>
      </w:r>
      <w:r>
        <w:rPr>
          <w:rStyle w:val="VerbatimChar"/>
        </w:rPr>
        <w:t xml:space="preserve">docs/</w:t>
      </w:r>
      <w:r>
        <w:t xml:space="preserve">.</w:t>
      </w:r>
    </w:p>
    <w:bookmarkEnd w:id="29"/>
    <w:bookmarkStart w:id="30" w:name="part-6-risks"/>
    <w:p>
      <w:pPr>
        <w:pStyle w:val="2"/>
      </w:pPr>
      <w:r>
        <w:t xml:space="preserve">Part 6 — Risks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Teacher errors become student errors (distillation inherits label noise)</w:t>
            </w:r>
          </w:p>
        </w:tc>
        <w:tc>
          <w:tcPr/>
          <w:p>
            <w:pPr>
              <w:pStyle w:val="Compact"/>
              <w:jc w:val="left"/>
            </w:pPr>
            <w:r>
              <w:t xml:space="preserve">Rule 3.2 verification; label-error research shows 3.3% noise moves rankings — verification is not optional</w:t>
            </w:r>
          </w:p>
        </w:tc>
      </w:tr>
      <w:tr>
        <w:tc>
          <w:tcPr/>
          <w:p>
            <w:pPr>
              <w:pStyle w:val="Compact"/>
              <w:jc w:val="left"/>
            </w:pPr>
            <w:r>
              <w:t xml:space="preserve">Eval contamination inflates results</w:t>
            </w:r>
          </w:p>
        </w:tc>
        <w:tc>
          <w:tcPr/>
          <w:p>
            <w:pPr>
              <w:pStyle w:val="Compact"/>
              <w:jc w:val="left"/>
            </w:pPr>
            <w:r>
              <w:t xml:space="preserve">Group split + near-dup CI + never-look holdout</w:t>
            </w:r>
          </w:p>
        </w:tc>
      </w:tr>
      <w:tr>
        <w:tc>
          <w:tcPr/>
          <w:p>
            <w:pPr>
              <w:pStyle w:val="Compact"/>
              <w:jc w:val="left"/>
            </w:pPr>
            <w:r>
              <w:t xml:space="preserve">Overfit to brands in training</w:t>
            </w:r>
          </w:p>
        </w:tc>
        <w:tc>
          <w:tcPr/>
          <w:p>
            <w:pPr>
              <w:pStyle w:val="Compact"/>
              <w:jc w:val="left"/>
            </w:pPr>
            <w:r>
              <w:t xml:space="preserve">Stratify training brands; acceptance gate includes unseen-brand holdout</w:t>
            </w:r>
          </w:p>
        </w:tc>
      </w:tr>
      <w:tr>
        <w:tc>
          <w:tcPr/>
          <w:p>
            <w:pPr>
              <w:pStyle w:val="Compact"/>
              <w:jc w:val="left"/>
            </w:pPr>
            <w:r>
              <w:t xml:space="preserve">Fine-tune erodes general capability (catastrophic forgetting)</w:t>
            </w:r>
          </w:p>
        </w:tc>
        <w:tc>
          <w:tcPr/>
          <w:p>
            <w:pPr>
              <w:pStyle w:val="Compact"/>
              <w:jc w:val="left"/>
            </w:pPr>
            <w:r>
              <w:t xml:space="preserve">LoRA adapters constrain drift; we only need narrow form-following</w:t>
            </w:r>
          </w:p>
        </w:tc>
      </w:tr>
      <w:tr>
        <w:tc>
          <w:tcPr/>
          <w:p>
            <w:pPr>
              <w:pStyle w:val="Compact"/>
              <w:jc w:val="left"/>
            </w:pPr>
            <w:r>
              <w:t xml:space="preserve">Dataset/privacy leak</w:t>
            </w:r>
          </w:p>
        </w:tc>
        <w:tc>
          <w:tcPr/>
          <w:p>
            <w:pPr>
              <w:pStyle w:val="Compact"/>
              <w:jc w:val="left"/>
            </w:pPr>
            <w:r>
              <w:t xml:space="preserve">Metadata-only manifest in repo; dataset lives outside the repo; redaction pass</w:t>
            </w:r>
          </w:p>
        </w:tc>
      </w:tr>
      <w:tr>
        <w:tc>
          <w:tcPr/>
          <w:p>
            <w:pPr>
              <w:pStyle w:val="Compact"/>
              <w:jc w:val="left"/>
            </w:pPr>
            <w:r>
              <w:t xml:space="preserve">Trigger never fires (base local model is good enough)</w:t>
            </w:r>
          </w:p>
        </w:tc>
        <w:tc>
          <w:tcPr/>
          <w:p>
            <w:pPr>
              <w:pStyle w:val="Compact"/>
              <w:jc w:val="left"/>
            </w:pPr>
            <w:r>
              <w:t xml:space="preserve">Fine — the dataset work still improved corpus coverage and correction memory; training was only $15 of downside</w:t>
            </w:r>
          </w:p>
        </w:tc>
      </w:tr>
    </w:tbl>
    <w:bookmarkEnd w:id="30"/>
    <w:bookmarkStart w:id="31" w:name="sources"/>
    <w:p>
      <w:pPr>
        <w:pStyle w:val="2"/>
      </w:pPr>
      <w:r>
        <w:t xml:space="preserve">Sources</w:t>
      </w:r>
    </w:p>
    <w:p>
      <w:pPr>
        <w:pStyle w:val="Compact"/>
        <w:numPr>
          <w:ilvl w:val="0"/>
          <w:numId w:val="1006"/>
        </w:numPr>
      </w:pPr>
      <w:r>
        <w:t xml:space="preserve">Knowledge distillation and dataset distillation of LLMs (Springer, 2025-11) — task-specific KD + instruction tuning; 90–95% retention norms</w:t>
      </w:r>
    </w:p>
    <w:p>
      <w:pPr>
        <w:pStyle w:val="Compact"/>
        <w:numPr>
          <w:ilvl w:val="0"/>
          <w:numId w:val="1006"/>
        </w:numPr>
      </w:pPr>
      <w:r>
        <w:t xml:space="preserve">Knowledge Distillation: Teacher-Student Training for LLMs (2026-02) — method families, capacity-gap guidance, offline vs online tradeoffs</w:t>
      </w:r>
    </w:p>
    <w:p>
      <w:pPr>
        <w:pStyle w:val="Compact"/>
        <w:numPr>
          <w:ilvl w:val="0"/>
          <w:numId w:val="1006"/>
        </w:numPr>
      </w:pPr>
      <w:r>
        <w:t xml:space="preserve">Distilling step-by-step (Google Research) — rationale traces as supervision</w:t>
      </w:r>
    </w:p>
    <w:p>
      <w:pPr>
        <w:pStyle w:val="Compact"/>
        <w:numPr>
          <w:ilvl w:val="0"/>
          <w:numId w:val="1006"/>
        </w:numPr>
      </w:pPr>
      <w:r>
        <w:t xml:space="preserve">How to Build a Golden Dataset for LLM Evaluation (2026-07) — leakage taxonomy, near-dup check, versioning</w:t>
      </w:r>
    </w:p>
    <w:p>
      <w:pPr>
        <w:pStyle w:val="Compact"/>
        <w:numPr>
          <w:ilvl w:val="0"/>
          <w:numId w:val="1006"/>
        </w:numPr>
      </w:pPr>
      <w:r>
        <w:t xml:space="preserve">How to Build Golden Datasets (Kili, 2026-09) — three-artifact split; label-error (3.3%) and contamination (2026) research</w:t>
      </w:r>
    </w:p>
    <w:p>
      <w:pPr>
        <w:pStyle w:val="Compact"/>
        <w:numPr>
          <w:ilvl w:val="0"/>
          <w:numId w:val="1006"/>
        </w:numPr>
      </w:pPr>
      <w:r>
        <w:t xml:space="preserve">Fine-tuning economics from</w:t>
      </w:r>
      <w:r>
        <w:t xml:space="preserve"> </w:t>
      </w:r>
      <w:r>
        <w:rPr>
          <w:rStyle w:val="VerbatimChar"/>
        </w:rPr>
        <w:t xml:space="preserve">how-to-build-an-ai-research-2026-09-28.md</w:t>
      </w:r>
      <w:r>
        <w:t xml:space="preserve"> </w:t>
      </w:r>
      <w:r>
        <w:t xml:space="preserve">(A100 marketplace pricing, QLoRA configs)</w:t>
      </w:r>
    </w:p>
    <w:bookmarkEnd w:id="31"/>
    <w:bookmarkEnd w:id="3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2026-09-29T02:23:43Z</dcterms:created>
  <dcterms:modified xsi:type="dcterms:W3CDTF">2026-09-29T02:23:43Z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aipljk8k36dhc750sf0-1a0b7e70-0c02-85d8-8000-0923a27389c5-20260929102343","ReservedCode1":"","ContentPropagator":"001191110108MACG2KBH8F20000","PropagateID":"daipljk8k36dhc750sf0-1a0b7e70-0c02-85d8-8000-0923a27389c5-20260929102343","ReservedCode2":""}</vt:lpwstr>
  </property>
</Properties>
</file>