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ac719674da952e3d2a90d38c76a50d35e166f6"/>
    <w:p>
      <w:pPr>
        <w:pStyle w:val="1"/>
      </w:pPr>
      <w:r>
        <w:t xml:space="preserve">How to Build an AI — Research Memo (mapped to Production Run Calculator)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2026-09-28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What does it actually take to</w:t>
      </w:r>
      <w:r>
        <w:t xml:space="preserve"> </w:t>
      </w:r>
      <w:r>
        <w:t xml:space="preserve">“</w:t>
      </w:r>
      <w:r>
        <w:t xml:space="preserve">build an AI,</w:t>
      </w:r>
      <w:r>
        <w:t xml:space="preserve">”</w:t>
      </w:r>
      <w:r>
        <w:t xml:space="preserve"> </w:t>
      </w:r>
      <w:r>
        <w:t xml:space="preserve">and which path fits this project?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2026 fine-tuning cost/hardware surveys (Spheron, vast.ai/RunPod/Lambda pricing), RAG-vs-fine-tuning decision frameworks (Winder.AI 2026, The AI Engineer, IBM, Big Data Boutique), QLoRA/LoRA literature.</w:t>
      </w:r>
    </w:p>
    <w:bookmarkStart w:id="20" w:name="X37f75f80dac1d3d8ea3340a820aa883b66cf241"/>
    <w:p>
      <w:pPr>
        <w:pStyle w:val="2"/>
      </w:pPr>
      <w:r>
        <w:t xml:space="preserve">0.</w:t>
      </w:r>
      <w:r>
        <w:t xml:space="preserve"> </w:t>
      </w:r>
      <w:r>
        <w:t xml:space="preserve">“</w:t>
      </w:r>
      <w:r>
        <w:t xml:space="preserve">Building an AI</w:t>
      </w:r>
      <w:r>
        <w:t xml:space="preserve">”</w:t>
      </w:r>
      <w:r>
        <w:t xml:space="preserve"> </w:t>
      </w:r>
      <w:r>
        <w:t xml:space="preserve">is three different things people conflate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needs to do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model</w:t>
            </w:r>
            <w:r>
              <w:t xml:space="preserve"> </w:t>
            </w:r>
            <w:r>
              <w:t xml:space="preserve">(pre-training)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 network language/reasoning from trillions of tokens on GPU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labs. Llama 3 used 15</w:t>
            </w:r>
            <w:r>
              <w:t xml:space="preserve"> </w:t>
            </w:r>
            <w:r>
              <w:rPr>
                <w:i/>
                <w:iCs/>
              </w:rPr>
              <w:t xml:space="preserve">trillion</w:t>
            </w:r>
            <w:r>
              <w:t xml:space="preserve"> </w:t>
            </w:r>
            <w:r>
              <w:t xml:space="preserve">tokens. Cost: millions of dollars. Not a small-team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behavior</w:t>
            </w:r>
            <w:r>
              <w:t xml:space="preserve"> </w:t>
            </w:r>
            <w:r>
              <w:t xml:space="preserve">(fine-tuning)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Adjusting a pre-trained model’s</w:t>
            </w:r>
            <w:r>
              <w:t xml:space="preserve"> </w:t>
            </w:r>
            <w:r>
              <w:rPr>
                <w:i/>
                <w:iCs/>
              </w:rPr>
              <w:t xml:space="preserve">form</w:t>
            </w:r>
            <w:r>
              <w:t xml:space="preserve"> </w:t>
            </w:r>
            <w:r>
              <w:t xml:space="preserve">— schema adherence, tone, domain phrasing, refusal patterns — on hundreds-to-thousands of curated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small team. This is what</w:t>
            </w:r>
            <w:r>
              <w:t xml:space="preserve"> </w:t>
            </w:r>
            <w:r>
              <w:t xml:space="preserve">“</w:t>
            </w:r>
            <w:r>
              <w:t xml:space="preserve">building your own AI</w:t>
            </w:r>
            <w:r>
              <w:t xml:space="preserve">”</w:t>
            </w:r>
            <w:r>
              <w:t xml:space="preserve"> </w:t>
            </w:r>
            <w:r>
              <w:t xml:space="preserve">realistically means in 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application</w:t>
            </w:r>
            <w:r>
              <w:t xml:space="preserve"> </w:t>
            </w:r>
            <w:r>
              <w:t xml:space="preserve">(prompt → RAG → 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Wiring a model into a product: prompts, retrieval over your live data, tools, evals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team, including this one (already done, post-audit).</w:t>
            </w:r>
          </w:p>
        </w:tc>
      </w:tr>
    </w:tbl>
    <w:p>
      <w:pPr>
        <w:pStyle w:val="a0"/>
      </w:pPr>
      <w:r>
        <w:t xml:space="preserve">The 2026 consensus sequence:</w:t>
      </w:r>
      <w:r>
        <w:t xml:space="preserve"> </w:t>
      </w:r>
      <w:r>
        <w:rPr>
          <w:b/>
          <w:bCs/>
        </w:rPr>
        <w:t xml:space="preserve">Prompt → RAG → Fine-tune → (Distill)</w:t>
      </w:r>
      <w:r>
        <w:t xml:space="preserve">. Each layer is only worth adding when the cheaper one demonstrably fails your eval harness.</w:t>
      </w:r>
    </w:p>
    <w:bookmarkEnd w:id="20"/>
    <w:bookmarkStart w:id="21" w:name="X501e11a636fbdbf877d1886408611a721de5d07"/>
    <w:p>
      <w:pPr>
        <w:pStyle w:val="2"/>
      </w:pPr>
      <w:r>
        <w:t xml:space="preserve">1. Path A — Training from scratch: what it really 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competitive models need 1–2 trillion tokens minimum; Llama 3 trained on 15T.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thousands of GPU-months. Even a deliberately tiny from-scratch</w:t>
      </w:r>
      <w:r>
        <w:t xml:space="preserve"> </w:t>
      </w:r>
      <w:r>
        <w:t xml:space="preserve">“</w:t>
      </w:r>
      <w:r>
        <w:t xml:space="preserve">educational</w:t>
      </w:r>
      <w:r>
        <w:t xml:space="preserve">”</w:t>
      </w:r>
      <w:r>
        <w:t xml:space="preserve"> </w:t>
      </w:r>
      <w:r>
        <w:t xml:space="preserve">LLM (nanoGPT-style) is a learning exercise, not a product.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 for this project:</w:t>
      </w:r>
      <w:r>
        <w:t xml:space="preserve"> </w:t>
      </w:r>
      <w:r>
        <w:t xml:space="preserve">ruled out. Nobody building a pizza-production app should pre-train. The value lives in layers B and C.</w:t>
      </w:r>
    </w:p>
    <w:bookmarkEnd w:id="21"/>
    <w:bookmarkStart w:id="25" w:name="X8558a01a8ac72563719ae29301328b6ae894bd0"/>
    <w:p>
      <w:pPr>
        <w:pStyle w:val="2"/>
      </w:pPr>
      <w:r>
        <w:t xml:space="preserve">2. Path B — Fine-tuning: the realistic</w:t>
      </w:r>
      <w:r>
        <w:t xml:space="preserve"> </w:t>
      </w:r>
      <w:r>
        <w:t xml:space="preserve">“</w:t>
      </w:r>
      <w:r>
        <w:t xml:space="preserve">build your own model</w:t>
      </w:r>
      <w:r>
        <w:t xml:space="preserve">”</w:t>
      </w:r>
    </w:p>
    <w:bookmarkStart w:id="22" w:name="economics-in-2026-verified-pricing"/>
    <w:p>
      <w:pPr>
        <w:pStyle w:val="3"/>
      </w:pPr>
      <w:r>
        <w:t xml:space="preserve">Economics in 2026 (verified pricing)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 / 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$1–15</w:t>
            </w:r>
            <w:r>
              <w:t xml:space="preserve"> </w:t>
            </w:r>
            <w:r>
              <w:t xml:space="preserve">(A100 80GB marketplace rentals from ~$0.44/hr)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 40GB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 80GB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$8–14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80GB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40–60GB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fine-tune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 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$250–510</w:t>
            </w:r>
          </w:p>
        </w:tc>
      </w:tr>
    </w:tbl>
    <w:p>
      <w:pPr>
        <w:pStyle w:val="a0"/>
      </w:pPr>
      <w:r>
        <w:t xml:space="preserve">QLoRA freezes the base model in 4-bit and trains tiny adapter layers (~0.1–1% of parameters); you lose ~1–2% accuracy vs full fine-tuning — a rounding error. Tooling:</w:t>
      </w:r>
      <w:r>
        <w:t xml:space="preserve"> </w:t>
      </w:r>
      <w:r>
        <w:rPr>
          <w:b/>
          <w:bCs/>
        </w:rPr>
        <w:t xml:space="preserve">Unsloth</w:t>
      </w:r>
      <w:r>
        <w:t xml:space="preserve"> </w:t>
      </w:r>
      <w:r>
        <w:t xml:space="preserve">(2–5× faster, easiest start), HF TRL SFTTrainer, Axolotl (multi-GPU), torchtune. LoRA adapters are 50–200MB and dozens can be served from one GPU.</w:t>
      </w:r>
    </w:p>
    <w:bookmarkEnd w:id="22"/>
    <w:bookmarkStart w:id="23" w:name="data-requirements"/>
    <w:p>
      <w:pPr>
        <w:pStyle w:val="3"/>
      </w:pPr>
      <w:r>
        <w:t xml:space="preserve">Data requirements</w:t>
      </w:r>
    </w:p>
    <w:p>
      <w:pPr>
        <w:pStyle w:val="FirstParagraph"/>
      </w:pPr>
      <w:r>
        <w:t xml:space="preserve">1,000–5,000 high-quality examples is a solid start; 10–50K for deeper domain behavior.</w:t>
      </w:r>
      <w:r>
        <w:t xml:space="preserve"> </w:t>
      </w:r>
      <w:r>
        <w:rPr>
          <w:b/>
          <w:bCs/>
        </w:rPr>
        <w:t xml:space="preserve">Data curation — not compute — is the real cost</w:t>
      </w:r>
      <w:r>
        <w:t xml:space="preserve"> </w:t>
      </w:r>
      <w:r>
        <w:t xml:space="preserve">(guides consistently report data prep &gt;&gt; training time).</w:t>
      </w:r>
    </w:p>
    <w:bookmarkEnd w:id="23"/>
    <w:bookmarkStart w:id="24" w:name="when-fine-tuning-wins-and-when-it-doesnt"/>
    <w:p>
      <w:pPr>
        <w:pStyle w:val="3"/>
      </w:pPr>
      <w:r>
        <w:t xml:space="preserve">When fine-tuning wins (and when it doesn’t)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Form, not facts</w:t>
      </w:r>
      <w:r>
        <w:t xml:space="preserve">: fixed JSON schema every time, domain vocabulary, consistent tone, refusal patterns.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Distillation for cost/latency</w:t>
      </w:r>
      <w:r>
        <w:t xml:space="preserve">: use a frontier model as teacher to generate outputs, fine-tune a small open model on them → near-frontier quality on the narrow task at ~1/10th inference cost. Strongest commercial case in 2026.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Knowledge that changes</w:t>
      </w:r>
      <w:r>
        <w:t xml:space="preserve"> </w:t>
      </w:r>
      <w:r>
        <w:t xml:space="preserve">(prices, specs, inventory): goes stale the moment data updates — that’s RAG/database territory. Research (Ovadia et al.) shows RAG consistently beats fine-tuning for factual recall; baking facts into weights erodes general capability (catastrophic forgetting).</w:t>
      </w:r>
    </w:p>
    <w:bookmarkEnd w:id="24"/>
    <w:bookmarkEnd w:id="25"/>
    <w:bookmarkStart w:id="26" w:name="X83827c71762ea16a9417b732bcd7bba27e40392"/>
    <w:p>
      <w:pPr>
        <w:pStyle w:val="2"/>
      </w:pPr>
      <w:r>
        <w:t xml:space="preserve">3. Path C — The application layer: prompt → RAG → agents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Prompting</w:t>
      </w:r>
      <w:r>
        <w:t xml:space="preserve"> </w:t>
      </w:r>
      <w:r>
        <w:t xml:space="preserve">costs one API call to test; wins more often than people admit.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RAG</w:t>
      </w:r>
      <w:r>
        <w:t xml:space="preserve"> </w:t>
      </w:r>
      <w:r>
        <w:t xml:space="preserve">(retrieval-augmented generation): index your documents, retrieve relevant chunks at query time, answer from them. Right when knowledge changes or must be cited. Typical build: £5–40K / 1–3 weeks at consultancy rates; DIY is an afternoon over docs you already have. Quality is capped by retrieval quality — hybrid (lexical+vector) retrieval + a reranker is the 2026 baseline; naive 500-token chunking is the classic failure.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Agents</w:t>
      </w:r>
      <w:r>
        <w:t xml:space="preserve">: multi-step tool-using systems. Powerful, but per this project’s own 2026-09-05 audit, most agent-shaped ideas here were scored Retire — the audit’s skepticism matches the external consensus that agents are a last layer, not a first move.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 harness is non-negotiable</w:t>
      </w:r>
      <w:r>
        <w:t xml:space="preserve">: every serious guide lists</w:t>
      </w:r>
      <w:r>
        <w:t xml:space="preserve"> </w:t>
      </w:r>
      <w:r>
        <w:t xml:space="preserve">“</w:t>
      </w:r>
      <w:r>
        <w:t xml:space="preserve">no eval harness</w:t>
      </w:r>
      <w:r>
        <w:t xml:space="preserve">”</w:t>
      </w:r>
      <w:r>
        <w:t xml:space="preserve"> </w:t>
      </w:r>
      <w:r>
        <w:t xml:space="preserve">as the #1 mistake. Without a labeled gold set and automatic metrics you cannot tell improvement from regression.</w:t>
      </w:r>
    </w:p>
    <w:bookmarkEnd w:id="26"/>
    <w:bookmarkStart w:id="28" w:name="X4351a015a45e689c3af1b462b3e5ff47e14dcca"/>
    <w:p>
      <w:pPr>
        <w:pStyle w:val="2"/>
      </w:pPr>
      <w:r>
        <w:t xml:space="preserve">4. Where Production Run Calculator sits on this map</w:t>
      </w:r>
    </w:p>
    <w:p>
      <w:pPr>
        <w:pStyle w:val="FirstParagraph"/>
      </w:pPr>
      <w:r>
        <w:rPr>
          <w:b/>
          <w:bCs/>
        </w:rPr>
        <w:t xml:space="preserve">Unusual advantage: the eval harness prerequisite is already satisfied.</w:t>
      </w:r>
      <w:r>
        <w:t xml:space="preserve"> </w:t>
      </w:r>
      <w:r>
        <w:rPr>
          <w:rStyle w:val="VerbatimChar"/>
        </w:rPr>
        <w:t xml:space="preserve">lib/corpus-harness</w:t>
      </w:r>
      <w:r>
        <w:t xml:space="preserve"> </w:t>
      </w:r>
      <w:r>
        <w:t xml:space="preserve">(spec-import corpus, evaluation manifest, benchmark artifacts) is exactly the</w:t>
      </w:r>
      <w:r>
        <w:t xml:space="preserve"> </w:t>
      </w:r>
      <w:r>
        <w:t xml:space="preserve">“</w:t>
      </w:r>
      <w:r>
        <w:t xml:space="preserve">labeled gold set + automatic metrics</w:t>
      </w:r>
      <w:r>
        <w:t xml:space="preserve">”</w:t>
      </w:r>
      <w:r>
        <w:t xml:space="preserve"> </w:t>
      </w:r>
      <w:r>
        <w:t xml:space="preserve">every guide says to build in week one. Most teams don’t have this; you do.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AI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 or behavior-bound?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workbook parsing (the 5/5-necessity feature)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Behavior-bound</w:t>
            </w:r>
            <w:r>
              <w:t xml:space="preserve"> </w:t>
            </w:r>
            <w:r>
              <w:t xml:space="preserve">(structured extraction form over messy spreadsheets)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Fine-tune candidate</w:t>
            </w:r>
            <w:r>
              <w:t xml:space="preserve"> </w:t>
            </w:r>
            <w:r>
              <w:t xml:space="preserve">— or keep frontier model + corpus-gated prompting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photo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Behavior-bound (vision→structured)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 candidate (Qwen2.5-VL LoRA) once corpus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matching / fill-missing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solved deterministically + alias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Nothing; fine-tuning would be waste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Inventory/pricing/staff-facing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Knowledge-bound, volatile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DB (already built) — never fine-tune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Q&amp;A over run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Knowledge-bound, volatile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over your Postgres — only if a real question corpus emerges (per #11 research)</w:t>
            </w:r>
          </w:p>
        </w:tc>
      </w:tr>
    </w:tbl>
    <w:bookmarkStart w:id="27" w:name="X5b5427bccf7bc3e1aad299eb4a1569f2ecf85d2"/>
    <w:p>
      <w:pPr>
        <w:pStyle w:val="3"/>
      </w:pPr>
      <w:r>
        <w:t xml:space="preserve">The interesting convergence: Option B (self-hosted inference) + distillation</w:t>
      </w:r>
    </w:p>
    <w:p>
      <w:pPr>
        <w:pStyle w:val="FirstParagraph"/>
      </w:pPr>
      <w:r>
        <w:t xml:space="preserve">The two research threads join: you don’t have to choose between</w:t>
      </w:r>
      <w:r>
        <w:t xml:space="preserve"> </w:t>
      </w:r>
      <w:r>
        <w:t xml:space="preserve">“</w:t>
      </w:r>
      <w:r>
        <w:t xml:space="preserve">Gemini quality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external API.</w:t>
      </w:r>
      <w:r>
        <w:t xml:space="preserve">”</w:t>
      </w:r>
      <w:r>
        <w:t xml:space="preserve"> </w:t>
      </w:r>
      <w:r>
        <w:t xml:space="preserve">The 2026 distillation pattern fits your assets exactly: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Teacher: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running via the existing adapter.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run the retained spec-import corpus through the teacher (you already have the harness; the audit’s privacy mode even gives you a curation pattern — metadata-only retained artifacts).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Student:</w:t>
      </w:r>
      <w:r>
        <w:t xml:space="preserve"> </w:t>
      </w:r>
      <w:r>
        <w:t xml:space="preserve">QLoRA fine-tune</w:t>
      </w:r>
      <w:r>
        <w:t xml:space="preserve"> </w:t>
      </w:r>
      <w:r>
        <w:rPr>
          <w:rStyle w:val="VerbatimChar"/>
        </w:rPr>
        <w:t xml:space="preserve">qwen3:8b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qwen2.5vl:7b</w:t>
      </w:r>
      <w:r>
        <w:t xml:space="preserve"> </w:t>
      </w:r>
      <w:r>
        <w:t xml:space="preserve">for photos) on ~1–5K extraction examples —</w:t>
      </w:r>
      <w:r>
        <w:t xml:space="preserve"> </w:t>
      </w:r>
      <w:r>
        <w:rPr>
          <w:b/>
          <w:bCs/>
        </w:rPr>
        <w:t xml:space="preserve">$1–15 of GPU rental, a few hours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Evaluate:</w:t>
      </w:r>
      <w:r>
        <w:t xml:space="preserve"> </w:t>
      </w:r>
      <w:r>
        <w:t xml:space="preserve">same corpus harness, same acceptance standard (discrepancy rates vs the PR #81 Gemini baseline).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the student serves through the exact local adapter from the Option B deep dive — one GPU, no external API, model pinned by digest.</w:t>
      </w:r>
    </w:p>
    <w:p>
      <w:pPr>
        <w:pStyle w:val="FirstParagraph"/>
      </w:pPr>
      <w:r>
        <w:t xml:space="preserve">If the student passes the corpus gate, you’ve built your own AI for the core workflow: a fine-tuned local model whose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is locked to your schema, with facts still flowing from your deterministic database (where they belong).</w:t>
      </w:r>
    </w:p>
    <w:bookmarkEnd w:id="27"/>
    <w:bookmarkEnd w:id="28"/>
    <w:bookmarkStart w:id="29" w:name="X8ea7251e99152af0e2fa08ae35a396c836e8b75"/>
    <w:p>
      <w:pPr>
        <w:pStyle w:val="2"/>
      </w:pPr>
      <w:r>
        <w:t xml:space="preserve">5. If you actually want to run a fine-tune — concrete recipe</w:t>
      </w:r>
    </w:p>
    <w:p>
      <w:pPr>
        <w:pStyle w:val="Compact"/>
        <w:numPr>
          <w:ilvl w:val="0"/>
          <w:numId w:val="1005"/>
        </w:numPr>
      </w:pPr>
      <w:r>
        <w:t xml:space="preserve">Rent an A100 80GB (~$0.44–1.39/hr: vast.ai marketplace, RunPod, Lambda) or use a local 24GB card for 7–8B QLoRA.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pip install torch transformers peft bitsandbytes trl datasets accelerate</w:t>
      </w:r>
      <w:r>
        <w:t xml:space="preserve"> </w:t>
      </w:r>
      <w:r>
        <w:t xml:space="preserve">(or Unsloth for 2–5× speed).</w:t>
      </w:r>
    </w:p>
    <w:p>
      <w:pPr>
        <w:pStyle w:val="Compact"/>
        <w:numPr>
          <w:ilvl w:val="0"/>
          <w:numId w:val="1005"/>
        </w:numPr>
      </w:pPr>
      <w:r>
        <w:t xml:space="preserve">Format data as instruction/output JSONL mapped through the chat template.</w:t>
      </w:r>
    </w:p>
    <w:p>
      <w:pPr>
        <w:pStyle w:val="Compact"/>
        <w:numPr>
          <w:ilvl w:val="0"/>
          <w:numId w:val="1005"/>
        </w:numPr>
      </w:pPr>
      <w:r>
        <w:t xml:space="preserve">QLoRA config: 4-bit base, LoRA rank 16–64, lr ~1e-4–2e-4, 2–3 epochs — the standard 2026 starting point.</w:t>
      </w:r>
    </w:p>
    <w:p>
      <w:pPr>
        <w:pStyle w:val="Compact"/>
        <w:numPr>
          <w:ilvl w:val="0"/>
          <w:numId w:val="1005"/>
        </w:numPr>
      </w:pPr>
      <w:r>
        <w:t xml:space="preserve">Train (hours), merge or serve adapter, evaluate</w:t>
      </w:r>
      <w:r>
        <w:t xml:space="preserve"> </w:t>
      </w:r>
      <w:r>
        <w:rPr>
          <w:b/>
          <w:bCs/>
        </w:rPr>
        <w:t xml:space="preserve">against the corpus harness before any merge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Serve via Ollama/llama.cpp (adapters merge into GGUF) behind the</w:t>
      </w:r>
      <w:r>
        <w:t xml:space="preserve"> </w:t>
      </w:r>
      <w:r>
        <w:rPr>
          <w:rStyle w:val="VerbatimChar"/>
        </w:rPr>
        <w:t xml:space="preserve">LOCAL_AI_BASE_URL</w:t>
      </w:r>
      <w:r>
        <w:t xml:space="preserve"> </w:t>
      </w:r>
      <w:r>
        <w:t xml:space="preserve">adapter.</w:t>
      </w:r>
    </w:p>
    <w:bookmarkEnd w:id="29"/>
    <w:bookmarkStart w:id="30" w:name="recommendation"/>
    <w:p>
      <w:pPr>
        <w:pStyle w:val="2"/>
      </w:pPr>
      <w:r>
        <w:t xml:space="preserve">6. Recommendation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build from scratch (ever, for this product) and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fine-tune facts into weights.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pursue the Option B self-hosted path first — it’s the infrastructure the fine-tune would later run 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Then, if the corpus benchmark shows the local base model (qwen3-14b) falling short of Gemini on spec-parse</w:t>
      </w:r>
      <w:r>
        <w:t xml:space="preserve"> </w:t>
      </w:r>
      <w:r>
        <w:t xml:space="preserve">— that’s the trigger for the distillation fine-tune. It converts</w:t>
      </w:r>
      <w:r>
        <w:t xml:space="preserve"> </w:t>
      </w:r>
      <w:r>
        <w:t xml:space="preserve">“</w:t>
      </w:r>
      <w:r>
        <w:t xml:space="preserve">we rent frontier API forever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we spent $15 and own the behavior.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Total incremental cost of the experiment: under $50 and a weekend. The eval harness — your moat — is already built.</w:t>
      </w:r>
    </w:p>
    <w:bookmarkEnd w:id="30"/>
    <w:bookmarkStart w:id="31" w:name="sources"/>
    <w:p>
      <w:pPr>
        <w:pStyle w:val="2"/>
      </w:pPr>
      <w:r>
        <w:t xml:space="preserve">Sources</w:t>
      </w:r>
    </w:p>
    <w:p>
      <w:pPr>
        <w:pStyle w:val="Compact"/>
        <w:numPr>
          <w:ilvl w:val="0"/>
          <w:numId w:val="1007"/>
        </w:numPr>
      </w:pPr>
      <w:r>
        <w:t xml:space="preserve">Fine-Tune LLMs for Under $20 (Medium/A, 2026-02) — A100 80GB marketplace pricing $0.44/hr+, QLoRA walkthrough</w:t>
      </w:r>
    </w:p>
    <w:p>
      <w:pPr>
        <w:pStyle w:val="Compact"/>
        <w:numPr>
          <w:ilvl w:val="0"/>
          <w:numId w:val="1007"/>
        </w:numPr>
      </w:pPr>
      <w:r>
        <w:t xml:space="preserve">How to Fine-Tune LLMs in 2026: Costs, GPUs, Code (Spheron, 2026-03) — size/method/cost table, Unsloth-first recommendation</w:t>
      </w:r>
    </w:p>
    <w:p>
      <w:pPr>
        <w:pStyle w:val="Compact"/>
        <w:numPr>
          <w:ilvl w:val="0"/>
          <w:numId w:val="1007"/>
        </w:numPr>
      </w:pPr>
      <w:r>
        <w:t xml:space="preserve">RAG vs Fine-Tuning in 2026: Decision Framework (Winder.AI, 2026-06) — decision tree, distillation case, hybrid pattern</w:t>
      </w:r>
    </w:p>
    <w:p>
      <w:pPr>
        <w:pStyle w:val="Compact"/>
        <w:numPr>
          <w:ilvl w:val="0"/>
          <w:numId w:val="1007"/>
        </w:numPr>
      </w:pPr>
      <w:r>
        <w:t xml:space="preserve">RAG vs Fine-Tuning (The AI Engineer, 2026-07) —</w:t>
      </w:r>
      <w:r>
        <w:t xml:space="preserve"> </w:t>
      </w:r>
      <w:r>
        <w:t xml:space="preserve">“</w:t>
      </w:r>
      <w:r>
        <w:t xml:space="preserve">RAG changes what the model sees; fine-tuning changes how it behaves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Fine-Tuning When RAG Isn’t Enough (Big Data Boutique, 2026-05) —</w:t>
      </w:r>
      <w:r>
        <w:t xml:space="preserve"> </w:t>
      </w:r>
      <w:r>
        <w:t xml:space="preserve">“</w:t>
      </w:r>
      <w:r>
        <w:t xml:space="preserve">fine-tune form, not facts</w:t>
      </w:r>
      <w:r>
        <w:t xml:space="preserve">”</w:t>
      </w:r>
      <w:r>
        <w:t xml:space="preserve">; eval harness prerequisite</w:t>
      </w:r>
    </w:p>
    <w:p>
      <w:pPr>
        <w:pStyle w:val="Compact"/>
        <w:numPr>
          <w:ilvl w:val="0"/>
          <w:numId w:val="1007"/>
        </w:numPr>
      </w:pPr>
      <w:r>
        <w:t xml:space="preserve">IBM Think (2025-02) — prompt engineering vs RAG vs fine-tuning distinction</w: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2026-09-29T02:16:23Z</dcterms:created>
  <dcterms:modified xsi:type="dcterms:W3CDTF">2026-09-29T02:16:23Z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-20260929101623","ReservedCode1":"","ContentPropagator":"001191110108MACG2KBH8F20000","PropagateID":"daipljk8k36dhc750sf0-1a0b7e70-0c02-85d8-8000-0923a27389c5-20260929101623","ReservedCode2":""}</vt:lpwstr>
  </property>
</Properties>
</file>