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6"/>
          <w:sz w:val="60"/>
        </w:rPr>
        <w:t>E-COMMERCE SALES ANALYTICS</w:t>
      </w:r>
    </w:p>
    <w:p>
      <w:pPr>
        <w:jc w:val="center"/>
      </w:pPr>
      <w:r>
        <w:rPr>
          <w:b/>
          <w:color w:val="2E7D32"/>
          <w:sz w:val="40"/>
        </w:rPr>
        <w:t>BUSINESS INTELLIGENCE REPORT</w:t>
      </w:r>
    </w:p>
    <w:p>
      <w:pPr>
        <w:jc w:val="center"/>
      </w:pPr>
      <w:r>
        <w:rPr>
          <w:color w:val="5A5A5A"/>
          <w:sz w:val="26"/>
        </w:rPr>
        <w:t>Sales • Profit • Customers • Products • Regions • Shipping</w:t>
      </w:r>
    </w:p>
    <w:p/>
    <w:tbl>
      <w:tblPr>
        <w:tblStyle w:val="TableGrid"/>
        <w:tblW w:type="auto" w:w="0"/>
        <w:jc w:val="center"/>
        <w:tblLook w:firstColumn="1" w:firstRow="1" w:lastColumn="0" w:lastRow="0" w:noHBand="0" w:noVBand="1" w:val="04A0"/>
      </w:tblPr>
      <w:tblGrid>
        <w:gridCol w:w="5040"/>
        <w:gridCol w:w="5040"/>
      </w:tblGrid>
      <w:tr>
        <w:tc>
          <w:tcPr>
            <w:tcW w:type="dxa" w:w="5040"/>
            <w:shd w:fill="1F3756"/>
          </w:tcPr>
          <w:p>
            <w:r>
              <w:rPr>
                <w:b/>
                <w:color w:val="FFFFFF"/>
                <w:sz w:val="18"/>
              </w:rPr>
              <w:t>Report Information</w:t>
            </w:r>
          </w:p>
        </w:tc>
        <w:tc>
          <w:tcPr>
            <w:tcW w:type="dxa" w:w="5040"/>
            <w:shd w:fill="1F3756"/>
          </w:tcPr>
          <w:p>
            <w:r>
              <w:rPr>
                <w:b/>
                <w:color w:val="FFFFFF"/>
                <w:sz w:val="18"/>
              </w:rPr>
              <w:t>Details</w:t>
            </w:r>
          </w:p>
        </w:tc>
      </w:tr>
      <w:tr>
        <w:tc>
          <w:tcPr>
            <w:tcW w:type="dxa" w:w="5040"/>
            <w:vAlign w:val="center"/>
          </w:tcPr>
          <w:p>
            <w:r>
              <w:rPr>
                <w:sz w:val="18"/>
              </w:rPr>
              <w:t>Dataset</w:t>
            </w:r>
          </w:p>
        </w:tc>
        <w:tc>
          <w:tcPr>
            <w:tcW w:type="dxa" w:w="5040"/>
            <w:vAlign w:val="center"/>
          </w:tcPr>
          <w:p>
            <w:r>
              <w:rPr>
                <w:sz w:val="18"/>
              </w:rPr>
              <w:t>Sample Superstore</w:t>
            </w:r>
          </w:p>
        </w:tc>
      </w:tr>
      <w:tr>
        <w:tc>
          <w:tcPr>
            <w:tcW w:type="dxa" w:w="5040"/>
            <w:vAlign w:val="center"/>
          </w:tcPr>
          <w:p>
            <w:r>
              <w:rPr>
                <w:sz w:val="18"/>
              </w:rPr>
              <w:t>Analysis Period</w:t>
            </w:r>
          </w:p>
        </w:tc>
        <w:tc>
          <w:tcPr>
            <w:tcW w:type="dxa" w:w="5040"/>
            <w:vAlign w:val="center"/>
          </w:tcPr>
          <w:p>
            <w:r>
              <w:rPr>
                <w:sz w:val="18"/>
              </w:rPr>
              <w:t>2014–2017</w:t>
            </w:r>
          </w:p>
        </w:tc>
      </w:tr>
      <w:tr>
        <w:tc>
          <w:tcPr>
            <w:tcW w:type="dxa" w:w="5040"/>
            <w:vAlign w:val="center"/>
          </w:tcPr>
          <w:p>
            <w:r>
              <w:rPr>
                <w:sz w:val="18"/>
              </w:rPr>
              <w:t>Tools</w:t>
            </w:r>
          </w:p>
        </w:tc>
        <w:tc>
          <w:tcPr>
            <w:tcW w:type="dxa" w:w="5040"/>
            <w:vAlign w:val="center"/>
          </w:tcPr>
          <w:p>
            <w:r>
              <w:rPr>
                <w:sz w:val="18"/>
              </w:rPr>
              <w:t>Python, PostgreSQL / pgAdmin, Power BI</w:t>
            </w:r>
          </w:p>
        </w:tc>
      </w:tr>
      <w:tr>
        <w:tc>
          <w:tcPr>
            <w:tcW w:type="dxa" w:w="5040"/>
            <w:vAlign w:val="center"/>
          </w:tcPr>
          <w:p>
            <w:r>
              <w:rPr>
                <w:sz w:val="18"/>
              </w:rPr>
              <w:t>Currency</w:t>
            </w:r>
          </w:p>
        </w:tc>
        <w:tc>
          <w:tcPr>
            <w:tcW w:type="dxa" w:w="5040"/>
            <w:vAlign w:val="center"/>
          </w:tcPr>
          <w:p>
            <w:r>
              <w:rPr>
                <w:sz w:val="18"/>
              </w:rPr>
              <w:t>USD ($)</w:t>
            </w:r>
          </w:p>
        </w:tc>
      </w:tr>
      <w:tr>
        <w:tc>
          <w:tcPr>
            <w:tcW w:type="dxa" w:w="5040"/>
            <w:vAlign w:val="center"/>
          </w:tcPr>
          <w:p>
            <w:r>
              <w:rPr>
                <w:sz w:val="18"/>
              </w:rPr>
              <w:t>Report Type</w:t>
            </w:r>
          </w:p>
        </w:tc>
        <w:tc>
          <w:tcPr>
            <w:tcW w:type="dxa" w:w="5040"/>
            <w:vAlign w:val="center"/>
          </w:tcPr>
          <w:p>
            <w:r>
              <w:rPr>
                <w:sz w:val="18"/>
              </w:rPr>
              <w:t>Business Intelligence &amp; Analytics</w:t>
            </w:r>
          </w:p>
        </w:tc>
      </w:tr>
    </w:tbl>
    <w:p/>
    <w:p>
      <w:pPr>
        <w:jc w:val="center"/>
      </w:pPr>
      <w:r>
        <w:rPr>
          <w:i/>
          <w:color w:val="5A5A5A"/>
        </w:rPr>
        <w:t>Prepared as a portfolio-ready business analytics report</w:t>
      </w:r>
    </w:p>
    <w:p>
      <w:r>
        <w:br w:type="page"/>
      </w:r>
    </w:p>
    <w:p>
      <w:pPr>
        <w:pStyle w:val="Heading1"/>
      </w:pPr>
      <w:r>
        <w:t>1. Executive Summary</w:t>
      </w:r>
    </w:p>
    <w:p>
      <w:r>
        <w:t>This project analyzes the Sample Superstore e-commerce dataset to understand sales performance, profitability, customer behavior, product performance, regional performance, and shipping efficiency from 2014 to 2017.</w:t>
      </w:r>
    </w:p>
    <w:p>
      <w:r>
        <w:t>The business generated approximately $2.30 million in sales and $286.40K in profit, resulting in an overall profit margin of 12.47%. The dataset contains 5,009 orders from 793 customers, with average shipping time of approximately 3.91 days.</w:t>
      </w:r>
    </w:p>
    <w:p>
      <w:r>
        <w:t>Sales improved toward the end of the analysis period, with 2017 recording the highest annual sales at approximately $733K. Technology was the strongest category, Phones was the highest-selling sub-category, and the West region produced the highest regional sales.</w:t>
      </w:r>
    </w:p>
    <w:p>
      <w:r>
        <w:t>The analysis also highlights profitability gaps. Texas recorded approximately -$26K profit, Tables recorded approximately -$17.7K profit, and some high-sales customers generated negative profit. These findings indicate that pricing, discounting, product mix, and regional costs require attention.</w:t>
      </w:r>
    </w:p>
    <w:p>
      <w:pPr>
        <w:pStyle w:val="Heading1"/>
      </w:pPr>
      <w:r>
        <w:t>2. Business Objective</w:t>
      </w:r>
    </w:p>
    <w:p>
      <w:r>
        <w:t>The objective is to transform transactional retail data into actionable business intelligence that can support better decisions about sales growth, profitability, customers, products, regions, and shipping.</w:t>
      </w:r>
    </w:p>
    <w:p>
      <w:pPr>
        <w:pStyle w:val="ListBullet"/>
        <w:spacing w:after="60"/>
      </w:pPr>
      <w:r>
        <w:t>Measure overall sales, profit, and profit margin.</w:t>
      </w:r>
    </w:p>
    <w:p>
      <w:pPr>
        <w:pStyle w:val="ListBullet"/>
        <w:spacing w:after="60"/>
      </w:pPr>
      <w:r>
        <w:t>Identify high- and low-performing products and sub-categories.</w:t>
      </w:r>
    </w:p>
    <w:p>
      <w:pPr>
        <w:pStyle w:val="ListBullet"/>
        <w:spacing w:after="60"/>
      </w:pPr>
      <w:r>
        <w:t>Evaluate regional and state-level performance.</w:t>
      </w:r>
    </w:p>
    <w:p>
      <w:pPr>
        <w:pStyle w:val="ListBullet"/>
        <w:spacing w:after="60"/>
      </w:pPr>
      <w:r>
        <w:t>Understand customer sales and profitability.</w:t>
      </w:r>
    </w:p>
    <w:p>
      <w:pPr>
        <w:pStyle w:val="ListBullet"/>
        <w:spacing w:after="60"/>
      </w:pPr>
      <w:r>
        <w:t>Analyze sales trends by year, month, quarter, and day of week.</w:t>
      </w:r>
    </w:p>
    <w:p>
      <w:pPr>
        <w:pStyle w:val="ListBullet"/>
        <w:spacing w:after="60"/>
      </w:pPr>
      <w:r>
        <w:t>Evaluate shipping performance.</w:t>
      </w:r>
    </w:p>
    <w:p>
      <w:pPr>
        <w:pStyle w:val="ListBullet"/>
        <w:spacing w:after="60"/>
      </w:pPr>
      <w:r>
        <w:t>Identify business problems and provide practical recommendations.</w:t>
      </w:r>
    </w:p>
    <w:p>
      <w:pPr>
        <w:pStyle w:val="Heading1"/>
      </w:pPr>
      <w:r>
        <w:t>3. Dataset Overview</w:t>
      </w:r>
    </w:p>
    <w:p>
      <w:r>
        <w:t>The Sample Superstore dataset is transaction-level retail data containing customer, product, geographic, shipping, date, sales, discount, and profit information.</w:t>
      </w:r>
    </w:p>
    <w:tbl>
      <w:tblPr>
        <w:tblStyle w:val="TableGrid"/>
        <w:tblW w:type="auto" w:w="0"/>
        <w:jc w:val="center"/>
        <w:tblLook w:firstColumn="1" w:firstRow="1" w:lastColumn="0" w:lastRow="0" w:noHBand="0" w:noVBand="1" w:val="04A0"/>
      </w:tblPr>
      <w:tblGrid>
        <w:gridCol w:w="5040"/>
        <w:gridCol w:w="5040"/>
      </w:tblGrid>
      <w:tr>
        <w:tc>
          <w:tcPr>
            <w:tcW w:type="dxa" w:w="5040"/>
            <w:shd w:fill="1F3756"/>
          </w:tcPr>
          <w:p>
            <w:r>
              <w:rPr>
                <w:b/>
                <w:color w:val="FFFFFF"/>
                <w:sz w:val="18"/>
              </w:rPr>
              <w:t>Dimension</w:t>
            </w:r>
          </w:p>
        </w:tc>
        <w:tc>
          <w:tcPr>
            <w:tcW w:type="dxa" w:w="5040"/>
            <w:shd w:fill="1F3756"/>
          </w:tcPr>
          <w:p>
            <w:r>
              <w:rPr>
                <w:b/>
                <w:color w:val="FFFFFF"/>
                <w:sz w:val="18"/>
              </w:rPr>
              <w:t>Examples</w:t>
            </w:r>
          </w:p>
        </w:tc>
      </w:tr>
      <w:tr>
        <w:tc>
          <w:tcPr>
            <w:tcW w:type="dxa" w:w="5040"/>
            <w:vAlign w:val="center"/>
          </w:tcPr>
          <w:p>
            <w:r>
              <w:rPr>
                <w:sz w:val="18"/>
              </w:rPr>
              <w:t>Customer</w:t>
            </w:r>
          </w:p>
        </w:tc>
        <w:tc>
          <w:tcPr>
            <w:tcW w:type="dxa" w:w="5040"/>
            <w:vAlign w:val="center"/>
          </w:tcPr>
          <w:p>
            <w:r>
              <w:rPr>
                <w:sz w:val="18"/>
              </w:rPr>
              <w:t>Customer Name, Customer ID</w:t>
            </w:r>
          </w:p>
        </w:tc>
      </w:tr>
      <w:tr>
        <w:tc>
          <w:tcPr>
            <w:tcW w:type="dxa" w:w="5040"/>
            <w:vAlign w:val="center"/>
          </w:tcPr>
          <w:p>
            <w:r>
              <w:rPr>
                <w:sz w:val="18"/>
              </w:rPr>
              <w:t>Product</w:t>
            </w:r>
          </w:p>
        </w:tc>
        <w:tc>
          <w:tcPr>
            <w:tcW w:type="dxa" w:w="5040"/>
            <w:vAlign w:val="center"/>
          </w:tcPr>
          <w:p>
            <w:r>
              <w:rPr>
                <w:sz w:val="18"/>
              </w:rPr>
              <w:t>Product Name, Product ID</w:t>
            </w:r>
          </w:p>
        </w:tc>
      </w:tr>
      <w:tr>
        <w:tc>
          <w:tcPr>
            <w:tcW w:type="dxa" w:w="5040"/>
            <w:vAlign w:val="center"/>
          </w:tcPr>
          <w:p>
            <w:r>
              <w:rPr>
                <w:sz w:val="18"/>
              </w:rPr>
              <w:t>Category</w:t>
            </w:r>
          </w:p>
        </w:tc>
        <w:tc>
          <w:tcPr>
            <w:tcW w:type="dxa" w:w="5040"/>
            <w:vAlign w:val="center"/>
          </w:tcPr>
          <w:p>
            <w:r>
              <w:rPr>
                <w:sz w:val="18"/>
              </w:rPr>
              <w:t>Technology, Furniture, Office Supplies</w:t>
            </w:r>
          </w:p>
        </w:tc>
      </w:tr>
      <w:tr>
        <w:tc>
          <w:tcPr>
            <w:tcW w:type="dxa" w:w="5040"/>
            <w:vAlign w:val="center"/>
          </w:tcPr>
          <w:p>
            <w:r>
              <w:rPr>
                <w:sz w:val="18"/>
              </w:rPr>
              <w:t>Segment</w:t>
            </w:r>
          </w:p>
        </w:tc>
        <w:tc>
          <w:tcPr>
            <w:tcW w:type="dxa" w:w="5040"/>
            <w:vAlign w:val="center"/>
          </w:tcPr>
          <w:p>
            <w:r>
              <w:rPr>
                <w:sz w:val="18"/>
              </w:rPr>
              <w:t>Consumer, Corporate, Home Office</w:t>
            </w:r>
          </w:p>
        </w:tc>
      </w:tr>
      <w:tr>
        <w:tc>
          <w:tcPr>
            <w:tcW w:type="dxa" w:w="5040"/>
            <w:vAlign w:val="center"/>
          </w:tcPr>
          <w:p>
            <w:r>
              <w:rPr>
                <w:sz w:val="18"/>
              </w:rPr>
              <w:t>Geography</w:t>
            </w:r>
          </w:p>
        </w:tc>
        <w:tc>
          <w:tcPr>
            <w:tcW w:type="dxa" w:w="5040"/>
            <w:vAlign w:val="center"/>
          </w:tcPr>
          <w:p>
            <w:r>
              <w:rPr>
                <w:sz w:val="18"/>
              </w:rPr>
              <w:t>Region, State, City</w:t>
            </w:r>
          </w:p>
        </w:tc>
      </w:tr>
      <w:tr>
        <w:tc>
          <w:tcPr>
            <w:tcW w:type="dxa" w:w="5040"/>
            <w:vAlign w:val="center"/>
          </w:tcPr>
          <w:p>
            <w:r>
              <w:rPr>
                <w:sz w:val="18"/>
              </w:rPr>
              <w:t>Shipping</w:t>
            </w:r>
          </w:p>
        </w:tc>
        <w:tc>
          <w:tcPr>
            <w:tcW w:type="dxa" w:w="5040"/>
            <w:vAlign w:val="center"/>
          </w:tcPr>
          <w:p>
            <w:r>
              <w:rPr>
                <w:sz w:val="18"/>
              </w:rPr>
              <w:t>Ship Mode, Ship Date, Shipping Days</w:t>
            </w:r>
          </w:p>
        </w:tc>
      </w:tr>
      <w:tr>
        <w:tc>
          <w:tcPr>
            <w:tcW w:type="dxa" w:w="5040"/>
            <w:vAlign w:val="center"/>
          </w:tcPr>
          <w:p>
            <w:r>
              <w:rPr>
                <w:sz w:val="18"/>
              </w:rPr>
              <w:t>Time</w:t>
            </w:r>
          </w:p>
        </w:tc>
        <w:tc>
          <w:tcPr>
            <w:tcW w:type="dxa" w:w="5040"/>
            <w:vAlign w:val="center"/>
          </w:tcPr>
          <w:p>
            <w:r>
              <w:rPr>
                <w:sz w:val="18"/>
              </w:rPr>
              <w:t>Year, Month, Month Number, Quarter</w:t>
            </w:r>
          </w:p>
        </w:tc>
      </w:tr>
      <w:tr>
        <w:tc>
          <w:tcPr>
            <w:tcW w:type="dxa" w:w="5040"/>
            <w:vAlign w:val="center"/>
          </w:tcPr>
          <w:p>
            <w:r>
              <w:rPr>
                <w:sz w:val="18"/>
              </w:rPr>
              <w:t>Financial</w:t>
            </w:r>
          </w:p>
        </w:tc>
        <w:tc>
          <w:tcPr>
            <w:tcW w:type="dxa" w:w="5040"/>
            <w:vAlign w:val="center"/>
          </w:tcPr>
          <w:p>
            <w:r>
              <w:rPr>
                <w:sz w:val="18"/>
              </w:rPr>
              <w:t>Sales, Discount, Quantity, Profit</w:t>
            </w:r>
          </w:p>
        </w:tc>
      </w:tr>
    </w:tbl>
    <w:p/>
    <w:p>
      <w:pPr>
        <w:pStyle w:val="Heading1"/>
      </w:pPr>
      <w:r>
        <w:t>4. Data Cleaning &amp; Preparation</w:t>
      </w:r>
    </w:p>
    <w:p>
      <w:r>
        <w:t>The dataset was prepared before SQL and Power BI analysis. Date fields were standardized, time-analysis columns were created, shipping duration was calculated, and numerical fields were prepared for aggregation.</w:t>
      </w:r>
    </w:p>
    <w:p>
      <w:pPr>
        <w:pStyle w:val="ListBullet"/>
        <w:spacing w:after="60"/>
      </w:pPr>
      <w:r>
        <w:t>Checked missing values and duplicate records.</w:t>
      </w:r>
    </w:p>
    <w:p>
      <w:pPr>
        <w:pStyle w:val="ListBullet"/>
        <w:spacing w:after="60"/>
      </w:pPr>
      <w:r>
        <w:t>Converted Order Date and Ship Date into proper date formats.</w:t>
      </w:r>
    </w:p>
    <w:p>
      <w:pPr>
        <w:pStyle w:val="ListBullet"/>
        <w:spacing w:after="60"/>
      </w:pPr>
      <w:r>
        <w:t>Created Year, Month, Month Number, Quarter, Day Name, and Day Number.</w:t>
      </w:r>
    </w:p>
    <w:p>
      <w:pPr>
        <w:pStyle w:val="ListBullet"/>
        <w:spacing w:after="60"/>
      </w:pPr>
      <w:r>
        <w:t>Calculated Shipping Days from Order Date and Ship Date.</w:t>
      </w:r>
    </w:p>
    <w:p>
      <w:pPr>
        <w:pStyle w:val="ListBullet"/>
        <w:spacing w:after="60"/>
      </w:pPr>
      <w:r>
        <w:t>Standardized Sales, Discount, Quantity, and Profit.</w:t>
      </w:r>
    </w:p>
    <w:p>
      <w:pPr>
        <w:pStyle w:val="ListBullet"/>
        <w:spacing w:after="60"/>
      </w:pPr>
      <w:r>
        <w:t>Prepared the cleaned dataset for PostgreSQL and Power BI.</w:t>
      </w:r>
    </w:p>
    <w:p>
      <w:pPr>
        <w:pStyle w:val="Heading1"/>
      </w:pPr>
      <w:r>
        <w:t>5. Tools &amp; Methodology</w:t>
      </w:r>
    </w:p>
    <w:p>
      <w:r>
        <w:t>The workflow followed a practical analytics pipeline: clean and prepare the data, analyze it with SQL, validate business findings, and communicate the results through Power BI.</w:t>
      </w:r>
    </w:p>
    <w:tbl>
      <w:tblPr>
        <w:tblStyle w:val="TableGrid"/>
        <w:tblW w:type="auto" w:w="0"/>
        <w:jc w:val="center"/>
        <w:tblLook w:firstColumn="1" w:firstRow="1" w:lastColumn="0" w:lastRow="0" w:noHBand="0" w:noVBand="1" w:val="04A0"/>
      </w:tblPr>
      <w:tblGrid>
        <w:gridCol w:w="5040"/>
        <w:gridCol w:w="5040"/>
      </w:tblGrid>
      <w:tr>
        <w:tc>
          <w:tcPr>
            <w:tcW w:type="dxa" w:w="5040"/>
            <w:shd w:fill="1F3756"/>
          </w:tcPr>
          <w:p>
            <w:r>
              <w:rPr>
                <w:b/>
                <w:color w:val="FFFFFF"/>
                <w:sz w:val="18"/>
              </w:rPr>
              <w:t>Tool</w:t>
            </w:r>
          </w:p>
        </w:tc>
        <w:tc>
          <w:tcPr>
            <w:tcW w:type="dxa" w:w="5040"/>
            <w:shd w:fill="1F3756"/>
          </w:tcPr>
          <w:p>
            <w:r>
              <w:rPr>
                <w:b/>
                <w:color w:val="FFFFFF"/>
                <w:sz w:val="18"/>
              </w:rPr>
              <w:t>Purpose</w:t>
            </w:r>
          </w:p>
        </w:tc>
      </w:tr>
      <w:tr>
        <w:tc>
          <w:tcPr>
            <w:tcW w:type="dxa" w:w="5040"/>
            <w:vAlign w:val="center"/>
          </w:tcPr>
          <w:p>
            <w:r>
              <w:rPr>
                <w:sz w:val="18"/>
              </w:rPr>
              <w:t>Python</w:t>
            </w:r>
          </w:p>
        </w:tc>
        <w:tc>
          <w:tcPr>
            <w:tcW w:type="dxa" w:w="5040"/>
            <w:vAlign w:val="center"/>
          </w:tcPr>
          <w:p>
            <w:r>
              <w:rPr>
                <w:sz w:val="18"/>
              </w:rPr>
              <w:t>Data cleaning, preparation, profiling, and initial analysis</w:t>
            </w:r>
          </w:p>
        </w:tc>
      </w:tr>
      <w:tr>
        <w:tc>
          <w:tcPr>
            <w:tcW w:type="dxa" w:w="5040"/>
            <w:vAlign w:val="center"/>
          </w:tcPr>
          <w:p>
            <w:r>
              <w:rPr>
                <w:sz w:val="18"/>
              </w:rPr>
              <w:t>PostgreSQL / pgAdmin</w:t>
            </w:r>
          </w:p>
        </w:tc>
        <w:tc>
          <w:tcPr>
            <w:tcW w:type="dxa" w:w="5040"/>
            <w:vAlign w:val="center"/>
          </w:tcPr>
          <w:p>
            <w:r>
              <w:rPr>
                <w:sz w:val="18"/>
              </w:rPr>
              <w:t>SQL queries, aggregation, filtering, and analytical views</w:t>
            </w:r>
          </w:p>
        </w:tc>
      </w:tr>
      <w:tr>
        <w:tc>
          <w:tcPr>
            <w:tcW w:type="dxa" w:w="5040"/>
            <w:vAlign w:val="center"/>
          </w:tcPr>
          <w:p>
            <w:r>
              <w:rPr>
                <w:sz w:val="18"/>
              </w:rPr>
              <w:t>Power BI</w:t>
            </w:r>
          </w:p>
        </w:tc>
        <w:tc>
          <w:tcPr>
            <w:tcW w:type="dxa" w:w="5040"/>
            <w:vAlign w:val="center"/>
          </w:tcPr>
          <w:p>
            <w:r>
              <w:rPr>
                <w:sz w:val="18"/>
              </w:rPr>
              <w:t>Interactive dashboards, KPIs, charts, heatmaps, and business storytelling</w:t>
            </w:r>
          </w:p>
        </w:tc>
      </w:tr>
    </w:tbl>
    <w:p/>
    <w:p>
      <w:pPr>
        <w:pStyle w:val="Heading1"/>
      </w:pPr>
      <w:r>
        <w:t>6. Key KPI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3756"/>
          </w:tcPr>
          <w:p>
            <w:r>
              <w:rPr>
                <w:b/>
                <w:color w:val="FFFFFF"/>
                <w:sz w:val="18"/>
              </w:rPr>
              <w:t>KPI</w:t>
            </w:r>
          </w:p>
        </w:tc>
        <w:tc>
          <w:tcPr>
            <w:tcW w:type="dxa" w:w="3360"/>
            <w:shd w:fill="1F3756"/>
          </w:tcPr>
          <w:p>
            <w:r>
              <w:rPr>
                <w:b/>
                <w:color w:val="FFFFFF"/>
                <w:sz w:val="18"/>
              </w:rPr>
              <w:t>Result</w:t>
            </w:r>
          </w:p>
        </w:tc>
        <w:tc>
          <w:tcPr>
            <w:tcW w:type="dxa" w:w="3360"/>
            <w:shd w:fill="1F3756"/>
          </w:tcPr>
          <w:p>
            <w:r>
              <w:rPr>
                <w:b/>
                <w:color w:val="FFFFFF"/>
                <w:sz w:val="18"/>
              </w:rPr>
              <w:t>Business Meaning</w:t>
            </w:r>
          </w:p>
        </w:tc>
      </w:tr>
      <w:tr>
        <w:tc>
          <w:tcPr>
            <w:tcW w:type="dxa" w:w="3360"/>
            <w:vAlign w:val="center"/>
          </w:tcPr>
          <w:p>
            <w:r>
              <w:rPr>
                <w:sz w:val="18"/>
              </w:rPr>
              <w:t>Total Sales</w:t>
            </w:r>
          </w:p>
        </w:tc>
        <w:tc>
          <w:tcPr>
            <w:tcW w:type="dxa" w:w="3360"/>
            <w:vAlign w:val="center"/>
          </w:tcPr>
          <w:p>
            <w:r>
              <w:rPr>
                <w:sz w:val="18"/>
              </w:rPr>
              <w:t>$2.30M</w:t>
            </w:r>
          </w:p>
        </w:tc>
        <w:tc>
          <w:tcPr>
            <w:tcW w:type="dxa" w:w="3360"/>
            <w:vAlign w:val="center"/>
          </w:tcPr>
          <w:p>
            <w:r>
              <w:rPr>
                <w:sz w:val="18"/>
              </w:rPr>
              <w:t>Strong overall revenue</w:t>
            </w:r>
          </w:p>
        </w:tc>
      </w:tr>
      <w:tr>
        <w:tc>
          <w:tcPr>
            <w:tcW w:type="dxa" w:w="3360"/>
            <w:vAlign w:val="center"/>
          </w:tcPr>
          <w:p>
            <w:r>
              <w:rPr>
                <w:sz w:val="18"/>
              </w:rPr>
              <w:t>Total Profit</w:t>
            </w:r>
          </w:p>
        </w:tc>
        <w:tc>
          <w:tcPr>
            <w:tcW w:type="dxa" w:w="3360"/>
            <w:vAlign w:val="center"/>
          </w:tcPr>
          <w:p>
            <w:r>
              <w:rPr>
                <w:sz w:val="18"/>
              </w:rPr>
              <w:t>$286.40K</w:t>
            </w:r>
          </w:p>
        </w:tc>
        <w:tc>
          <w:tcPr>
            <w:tcW w:type="dxa" w:w="3360"/>
            <w:vAlign w:val="center"/>
          </w:tcPr>
          <w:p>
            <w:r>
              <w:rPr>
                <w:sz w:val="18"/>
              </w:rPr>
              <w:t>Positive overall profit</w:t>
            </w:r>
          </w:p>
        </w:tc>
      </w:tr>
      <w:tr>
        <w:tc>
          <w:tcPr>
            <w:tcW w:type="dxa" w:w="3360"/>
            <w:vAlign w:val="center"/>
          </w:tcPr>
          <w:p>
            <w:r>
              <w:rPr>
                <w:sz w:val="18"/>
              </w:rPr>
              <w:t>Profit Margin</w:t>
            </w:r>
          </w:p>
        </w:tc>
        <w:tc>
          <w:tcPr>
            <w:tcW w:type="dxa" w:w="3360"/>
            <w:vAlign w:val="center"/>
          </w:tcPr>
          <w:p>
            <w:r>
              <w:rPr>
                <w:sz w:val="18"/>
              </w:rPr>
              <w:t>12.47%</w:t>
            </w:r>
          </w:p>
        </w:tc>
        <w:tc>
          <w:tcPr>
            <w:tcW w:type="dxa" w:w="3360"/>
            <w:vAlign w:val="center"/>
          </w:tcPr>
          <w:p>
            <w:r>
              <w:rPr>
                <w:sz w:val="18"/>
              </w:rPr>
              <w:t>Room to improve profitability</w:t>
            </w:r>
          </w:p>
        </w:tc>
      </w:tr>
      <w:tr>
        <w:tc>
          <w:tcPr>
            <w:tcW w:type="dxa" w:w="3360"/>
            <w:vAlign w:val="center"/>
          </w:tcPr>
          <w:p>
            <w:r>
              <w:rPr>
                <w:sz w:val="18"/>
              </w:rPr>
              <w:t>Total Orders</w:t>
            </w:r>
          </w:p>
        </w:tc>
        <w:tc>
          <w:tcPr>
            <w:tcW w:type="dxa" w:w="3360"/>
            <w:vAlign w:val="center"/>
          </w:tcPr>
          <w:p>
            <w:r>
              <w:rPr>
                <w:sz w:val="18"/>
              </w:rPr>
              <w:t>5,009</w:t>
            </w:r>
          </w:p>
        </w:tc>
        <w:tc>
          <w:tcPr>
            <w:tcW w:type="dxa" w:w="3360"/>
            <w:vAlign w:val="center"/>
          </w:tcPr>
          <w:p>
            <w:r>
              <w:rPr>
                <w:sz w:val="18"/>
              </w:rPr>
              <w:t>Transaction volume</w:t>
            </w:r>
          </w:p>
        </w:tc>
      </w:tr>
      <w:tr>
        <w:tc>
          <w:tcPr>
            <w:tcW w:type="dxa" w:w="3360"/>
            <w:vAlign w:val="center"/>
          </w:tcPr>
          <w:p>
            <w:r>
              <w:rPr>
                <w:sz w:val="18"/>
              </w:rPr>
              <w:t>Total Customers</w:t>
            </w:r>
          </w:p>
        </w:tc>
        <w:tc>
          <w:tcPr>
            <w:tcW w:type="dxa" w:w="3360"/>
            <w:vAlign w:val="center"/>
          </w:tcPr>
          <w:p>
            <w:r>
              <w:rPr>
                <w:sz w:val="18"/>
              </w:rPr>
              <w:t>793</w:t>
            </w:r>
          </w:p>
        </w:tc>
        <w:tc>
          <w:tcPr>
            <w:tcW w:type="dxa" w:w="3360"/>
            <w:vAlign w:val="center"/>
          </w:tcPr>
          <w:p>
            <w:r>
              <w:rPr>
                <w:sz w:val="18"/>
              </w:rPr>
              <w:t>Customer base</w:t>
            </w:r>
          </w:p>
        </w:tc>
      </w:tr>
      <w:tr>
        <w:tc>
          <w:tcPr>
            <w:tcW w:type="dxa" w:w="3360"/>
            <w:vAlign w:val="center"/>
          </w:tcPr>
          <w:p>
            <w:r>
              <w:rPr>
                <w:sz w:val="18"/>
              </w:rPr>
              <w:t>Average Shipping Days</w:t>
            </w:r>
          </w:p>
        </w:tc>
        <w:tc>
          <w:tcPr>
            <w:tcW w:type="dxa" w:w="3360"/>
            <w:vAlign w:val="center"/>
          </w:tcPr>
          <w:p>
            <w:r>
              <w:rPr>
                <w:sz w:val="18"/>
              </w:rPr>
              <w:t>3.91 days</w:t>
            </w:r>
          </w:p>
        </w:tc>
        <w:tc>
          <w:tcPr>
            <w:tcW w:type="dxa" w:w="3360"/>
            <w:vAlign w:val="center"/>
          </w:tcPr>
          <w:p>
            <w:r>
              <w:rPr>
                <w:sz w:val="18"/>
              </w:rPr>
              <w:t>Overall delivery duration</w:t>
            </w:r>
          </w:p>
        </w:tc>
      </w:tr>
    </w:tbl>
    <w:p/>
    <w:p>
      <w:pPr>
        <w:pStyle w:val="Heading1"/>
      </w:pPr>
      <w:r>
        <w:t>7. Sales Performance</w:t>
      </w:r>
    </w:p>
    <w:p>
      <w:r>
        <w:t>Sales reached approximately $2.30M across the analysis period. Annual performance improved strongly toward the end of the period, with 2017 achieving the highest annual sales of approximately $733K.</w:t>
      </w:r>
    </w:p>
    <w:p>
      <w:pPr>
        <w:pStyle w:val="ListBullet"/>
        <w:spacing w:after="60"/>
      </w:pPr>
      <w:r>
        <w:t>Technology was the strongest major category by sales.</w:t>
      </w:r>
    </w:p>
    <w:p>
      <w:pPr>
        <w:pStyle w:val="ListBullet"/>
        <w:spacing w:after="60"/>
      </w:pPr>
      <w:r>
        <w:t>West recorded the highest sales at approximately $725K.</w:t>
      </w:r>
    </w:p>
    <w:p>
      <w:pPr>
        <w:pStyle w:val="ListBullet"/>
        <w:spacing w:after="60"/>
      </w:pPr>
      <w:r>
        <w:t>East followed at approximately $679K.</w:t>
      </w:r>
    </w:p>
    <w:p>
      <w:pPr>
        <w:pStyle w:val="ListBullet"/>
        <w:spacing w:after="60"/>
      </w:pPr>
      <w:r>
        <w:t>Phones were the highest-selling sub-category at approximately $330K.</w:t>
      </w:r>
    </w:p>
    <w:p>
      <w:pPr>
        <w:pStyle w:val="ListBullet"/>
        <w:spacing w:after="60"/>
      </w:pPr>
      <w:r>
        <w:t>California recorded the highest state sales at approximately $458K.</w:t>
      </w:r>
    </w:p>
    <w:p>
      <w:pPr>
        <w:pStyle w:val="Heading1"/>
      </w:pPr>
      <w:r>
        <w:t>8. Profitability Analysis</w:t>
      </w:r>
    </w:p>
    <w:p>
      <w:r>
        <w:t>Although the business generated strong revenue, the overall profit margin was 12.47%. This suggests that improving profitability should be considered alongside revenue growth.</w:t>
      </w:r>
    </w:p>
    <w:p>
      <w:pPr>
        <w:pStyle w:val="ListBullet"/>
        <w:spacing w:after="60"/>
      </w:pPr>
      <w:r>
        <w:t>Total profit was approximately $286.40K.</w:t>
      </w:r>
    </w:p>
    <w:p>
      <w:pPr>
        <w:pStyle w:val="ListBullet"/>
        <w:spacing w:after="60"/>
      </w:pPr>
      <w:r>
        <w:t>Copiers generated the highest sub-category profit at approximately $55.6K.</w:t>
      </w:r>
    </w:p>
    <w:p>
      <w:pPr>
        <w:pStyle w:val="ListBullet"/>
        <w:spacing w:after="60"/>
      </w:pPr>
      <w:r>
        <w:t>Tables generated the lowest sub-category profit at approximately -$17.7K.</w:t>
      </w:r>
    </w:p>
    <w:p>
      <w:pPr>
        <w:pStyle w:val="ListBullet"/>
        <w:spacing w:after="60"/>
      </w:pPr>
      <w:r>
        <w:t>Texas recorded approximately -$26K profit.</w:t>
      </w:r>
    </w:p>
    <w:p>
      <w:pPr>
        <w:pStyle w:val="ListBullet"/>
        <w:spacing w:after="60"/>
      </w:pPr>
      <w:r>
        <w:t>High sales do not always translate into high profit.</w:t>
      </w:r>
    </w:p>
    <w:p>
      <w:pPr>
        <w:pStyle w:val="Heading1"/>
      </w:pPr>
      <w:r>
        <w:t>9. Product Analysis</w:t>
      </w:r>
    </w:p>
    <w:p>
      <w:r>
        <w:t>The product analysis shows a clear difference between revenue leadership and profitability leadership. Management should therefore evaluate products using both sales and profit rather than sales alone.</w:t>
      </w:r>
    </w:p>
    <w:tbl>
      <w:tblPr>
        <w:tblStyle w:val="TableGrid"/>
        <w:tblW w:type="auto" w:w="0"/>
        <w:jc w:val="center"/>
        <w:tblLook w:firstColumn="1" w:firstRow="1" w:lastColumn="0" w:lastRow="0" w:noHBand="0" w:noVBand="1" w:val="04A0"/>
      </w:tblPr>
      <w:tblGrid>
        <w:gridCol w:w="5040"/>
        <w:gridCol w:w="5040"/>
      </w:tblGrid>
      <w:tr>
        <w:tc>
          <w:tcPr>
            <w:tcW w:type="dxa" w:w="5040"/>
            <w:shd w:fill="1F3756"/>
          </w:tcPr>
          <w:p>
            <w:r>
              <w:rPr>
                <w:b/>
                <w:color w:val="FFFFFF"/>
                <w:sz w:val="18"/>
              </w:rPr>
              <w:t>Finding</w:t>
            </w:r>
          </w:p>
        </w:tc>
        <w:tc>
          <w:tcPr>
            <w:tcW w:type="dxa" w:w="5040"/>
            <w:shd w:fill="1F3756"/>
          </w:tcPr>
          <w:p>
            <w:r>
              <w:rPr>
                <w:b/>
                <w:color w:val="FFFFFF"/>
                <w:sz w:val="18"/>
              </w:rPr>
              <w:t>Result</w:t>
            </w:r>
          </w:p>
        </w:tc>
      </w:tr>
      <w:tr>
        <w:tc>
          <w:tcPr>
            <w:tcW w:type="dxa" w:w="5040"/>
            <w:vAlign w:val="center"/>
          </w:tcPr>
          <w:p>
            <w:r>
              <w:rPr>
                <w:sz w:val="18"/>
              </w:rPr>
              <w:t>Highest Sales Sub-category</w:t>
            </w:r>
          </w:p>
        </w:tc>
        <w:tc>
          <w:tcPr>
            <w:tcW w:type="dxa" w:w="5040"/>
            <w:vAlign w:val="center"/>
          </w:tcPr>
          <w:p>
            <w:r>
              <w:rPr>
                <w:sz w:val="18"/>
              </w:rPr>
              <w:t>Phones — approximately $330K</w:t>
            </w:r>
          </w:p>
        </w:tc>
      </w:tr>
      <w:tr>
        <w:tc>
          <w:tcPr>
            <w:tcW w:type="dxa" w:w="5040"/>
            <w:vAlign w:val="center"/>
          </w:tcPr>
          <w:p>
            <w:r>
              <w:rPr>
                <w:sz w:val="18"/>
              </w:rPr>
              <w:t>Highest Profit Sub-category</w:t>
            </w:r>
          </w:p>
        </w:tc>
        <w:tc>
          <w:tcPr>
            <w:tcW w:type="dxa" w:w="5040"/>
            <w:vAlign w:val="center"/>
          </w:tcPr>
          <w:p>
            <w:r>
              <w:rPr>
                <w:sz w:val="18"/>
              </w:rPr>
              <w:t>Copiers — approximately $55.6K</w:t>
            </w:r>
          </w:p>
        </w:tc>
      </w:tr>
      <w:tr>
        <w:tc>
          <w:tcPr>
            <w:tcW w:type="dxa" w:w="5040"/>
            <w:vAlign w:val="center"/>
          </w:tcPr>
          <w:p>
            <w:r>
              <w:rPr>
                <w:sz w:val="18"/>
              </w:rPr>
              <w:t>Lowest Profit Sub-category</w:t>
            </w:r>
          </w:p>
        </w:tc>
        <w:tc>
          <w:tcPr>
            <w:tcW w:type="dxa" w:w="5040"/>
            <w:vAlign w:val="center"/>
          </w:tcPr>
          <w:p>
            <w:r>
              <w:rPr>
                <w:sz w:val="18"/>
              </w:rPr>
              <w:t>Tables — approximately -$17.7K</w:t>
            </w:r>
          </w:p>
        </w:tc>
      </w:tr>
      <w:tr>
        <w:tc>
          <w:tcPr>
            <w:tcW w:type="dxa" w:w="5040"/>
            <w:vAlign w:val="center"/>
          </w:tcPr>
          <w:p>
            <w:r>
              <w:rPr>
                <w:sz w:val="18"/>
              </w:rPr>
              <w:t>Highest Profit Margin Sub-category</w:t>
            </w:r>
          </w:p>
        </w:tc>
        <w:tc>
          <w:tcPr>
            <w:tcW w:type="dxa" w:w="5040"/>
            <w:vAlign w:val="center"/>
          </w:tcPr>
          <w:p>
            <w:r>
              <w:rPr>
                <w:sz w:val="18"/>
              </w:rPr>
              <w:t>Labels — approximately 44.42%</w:t>
            </w:r>
          </w:p>
        </w:tc>
      </w:tr>
      <w:tr>
        <w:tc>
          <w:tcPr>
            <w:tcW w:type="dxa" w:w="5040"/>
            <w:vAlign w:val="center"/>
          </w:tcPr>
          <w:p>
            <w:r>
              <w:rPr>
                <w:sz w:val="18"/>
              </w:rPr>
              <w:t>Lowest Profit Margin Sub-category</w:t>
            </w:r>
          </w:p>
        </w:tc>
        <w:tc>
          <w:tcPr>
            <w:tcW w:type="dxa" w:w="5040"/>
            <w:vAlign w:val="center"/>
          </w:tcPr>
          <w:p>
            <w:r>
              <w:rPr>
                <w:sz w:val="18"/>
              </w:rPr>
              <w:t>Tables — approximately -8.56%</w:t>
            </w:r>
          </w:p>
        </w:tc>
      </w:tr>
      <w:tr>
        <w:tc>
          <w:tcPr>
            <w:tcW w:type="dxa" w:w="5040"/>
            <w:vAlign w:val="center"/>
          </w:tcPr>
          <w:p>
            <w:r>
              <w:rPr>
                <w:sz w:val="18"/>
              </w:rPr>
              <w:t>Highest-Selling Product</w:t>
            </w:r>
          </w:p>
        </w:tc>
        <w:tc>
          <w:tcPr>
            <w:tcW w:type="dxa" w:w="5040"/>
            <w:vAlign w:val="center"/>
          </w:tcPr>
          <w:p>
            <w:r>
              <w:rPr>
                <w:sz w:val="18"/>
              </w:rPr>
              <w:t>Canon imageCLASS 2200 Advanced Copier</w:t>
            </w:r>
          </w:p>
        </w:tc>
      </w:tr>
    </w:tbl>
    <w:p/>
    <w:p>
      <w:pPr>
        <w:pStyle w:val="Heading1"/>
      </w:pPr>
      <w:r>
        <w:t>10. Regional &amp; State Analysis</w:t>
      </w:r>
    </w:p>
    <w:p>
      <w:pPr>
        <w:pStyle w:val="ListBullet"/>
        <w:spacing w:after="60"/>
      </w:pPr>
      <w:r>
        <w:t>West was strongest by sales at approximately $725K.</w:t>
      </w:r>
    </w:p>
    <w:p>
      <w:pPr>
        <w:pStyle w:val="ListBullet"/>
        <w:spacing w:after="60"/>
      </w:pPr>
      <w:r>
        <w:t>East followed at approximately $679K.</w:t>
      </w:r>
    </w:p>
    <w:p>
      <w:pPr>
        <w:pStyle w:val="ListBullet"/>
        <w:spacing w:after="60"/>
      </w:pPr>
      <w:r>
        <w:t>California generated the highest state sales at approximately $458K.</w:t>
      </w:r>
    </w:p>
    <w:p>
      <w:pPr>
        <w:pStyle w:val="ListBullet"/>
        <w:spacing w:after="60"/>
      </w:pPr>
      <w:r>
        <w:t>Texas recorded approximately -$26K profit.</w:t>
      </w:r>
    </w:p>
    <w:p>
      <w:pPr>
        <w:pStyle w:val="ListBullet"/>
        <w:spacing w:after="60"/>
      </w:pPr>
      <w:r>
        <w:t>Regional sales should be evaluated with profit, discounts, shipping costs, and product mix.</w:t>
      </w:r>
    </w:p>
    <w:p>
      <w:pPr>
        <w:pStyle w:val="Heading1"/>
      </w:pPr>
      <w:r>
        <w:t>11. Customer Analysis</w:t>
      </w:r>
    </w:p>
    <w:p>
      <w:r>
        <w:t>Customer analysis shows why revenue and profitability should be considered together. Sean Miller generated the highest customer sales but had negative profit of approximately $2K, while Tamara Chand generated approximately $9K profit with a strong 47.14% margin.</w:t>
      </w:r>
    </w:p>
    <w:tbl>
      <w:tblPr>
        <w:tblStyle w:val="TableGrid"/>
        <w:tblW w:type="auto" w:w="0"/>
        <w:jc w:val="center"/>
        <w:tblLook w:firstColumn="1" w:firstRow="1" w:lastColumn="0" w:lastRow="0" w:noHBand="0" w:noVBand="1" w:val="04A0"/>
      </w:tblPr>
      <w:tblGrid>
        <w:gridCol w:w="5040"/>
        <w:gridCol w:w="5040"/>
      </w:tblGrid>
      <w:tr>
        <w:tc>
          <w:tcPr>
            <w:tcW w:type="dxa" w:w="5040"/>
            <w:shd w:fill="1F3756"/>
          </w:tcPr>
          <w:p>
            <w:r>
              <w:rPr>
                <w:b/>
                <w:color w:val="FFFFFF"/>
                <w:sz w:val="18"/>
              </w:rPr>
              <w:t>Finding</w:t>
            </w:r>
          </w:p>
        </w:tc>
        <w:tc>
          <w:tcPr>
            <w:tcW w:type="dxa" w:w="5040"/>
            <w:shd w:fill="1F3756"/>
          </w:tcPr>
          <w:p>
            <w:r>
              <w:rPr>
                <w:b/>
                <w:color w:val="FFFFFF"/>
                <w:sz w:val="18"/>
              </w:rPr>
              <w:t>Result</w:t>
            </w:r>
          </w:p>
        </w:tc>
      </w:tr>
      <w:tr>
        <w:tc>
          <w:tcPr>
            <w:tcW w:type="dxa" w:w="5040"/>
            <w:vAlign w:val="center"/>
          </w:tcPr>
          <w:p>
            <w:r>
              <w:rPr>
                <w:sz w:val="18"/>
              </w:rPr>
              <w:t>Highest Sales Customer</w:t>
            </w:r>
          </w:p>
        </w:tc>
        <w:tc>
          <w:tcPr>
            <w:tcW w:type="dxa" w:w="5040"/>
            <w:vAlign w:val="center"/>
          </w:tcPr>
          <w:p>
            <w:r>
              <w:rPr>
                <w:sz w:val="18"/>
              </w:rPr>
              <w:t>Sean Miller — approximately $25K sales</w:t>
            </w:r>
          </w:p>
        </w:tc>
      </w:tr>
      <w:tr>
        <w:tc>
          <w:tcPr>
            <w:tcW w:type="dxa" w:w="5040"/>
            <w:vAlign w:val="center"/>
          </w:tcPr>
          <w:p>
            <w:r>
              <w:rPr>
                <w:sz w:val="18"/>
              </w:rPr>
              <w:t>Highest Profit Customer</w:t>
            </w:r>
          </w:p>
        </w:tc>
        <w:tc>
          <w:tcPr>
            <w:tcW w:type="dxa" w:w="5040"/>
            <w:vAlign w:val="center"/>
          </w:tcPr>
          <w:p>
            <w:r>
              <w:rPr>
                <w:sz w:val="18"/>
              </w:rPr>
              <w:t>Tamara Chand — approximately $9K profit</w:t>
            </w:r>
          </w:p>
        </w:tc>
      </w:tr>
      <w:tr>
        <w:tc>
          <w:tcPr>
            <w:tcW w:type="dxa" w:w="5040"/>
            <w:vAlign w:val="center"/>
          </w:tcPr>
          <w:p>
            <w:r>
              <w:rPr>
                <w:sz w:val="18"/>
              </w:rPr>
              <w:t>Tamara Chand Profit Margin</w:t>
            </w:r>
          </w:p>
        </w:tc>
        <w:tc>
          <w:tcPr>
            <w:tcW w:type="dxa" w:w="5040"/>
            <w:vAlign w:val="center"/>
          </w:tcPr>
          <w:p>
            <w:r>
              <w:rPr>
                <w:sz w:val="18"/>
              </w:rPr>
              <w:t>Approximately 47.14%</w:t>
            </w:r>
          </w:p>
        </w:tc>
      </w:tr>
      <w:tr>
        <w:tc>
          <w:tcPr>
            <w:tcW w:type="dxa" w:w="5040"/>
            <w:vAlign w:val="center"/>
          </w:tcPr>
          <w:p>
            <w:r>
              <w:rPr>
                <w:sz w:val="18"/>
              </w:rPr>
              <w:t>Key Observation</w:t>
            </w:r>
          </w:p>
        </w:tc>
        <w:tc>
          <w:tcPr>
            <w:tcW w:type="dxa" w:w="5040"/>
            <w:vAlign w:val="center"/>
          </w:tcPr>
          <w:p>
            <w:r>
              <w:rPr>
                <w:sz w:val="18"/>
              </w:rPr>
              <w:t>High sales do not always mean high profit</w:t>
            </w:r>
          </w:p>
        </w:tc>
      </w:tr>
    </w:tbl>
    <w:p/>
    <w:p>
      <w:pPr>
        <w:pStyle w:val="Heading1"/>
      </w:pPr>
      <w:r>
        <w:t>12. Shipping Analysis</w:t>
      </w:r>
    </w:p>
    <w:p>
      <w:pPr>
        <w:pStyle w:val="ListBullet"/>
        <w:spacing w:after="60"/>
      </w:pPr>
      <w:r>
        <w:t>Average shipping duration was approximately 3.91 days.</w:t>
      </w:r>
    </w:p>
    <w:p>
      <w:pPr>
        <w:pStyle w:val="ListBullet"/>
        <w:spacing w:after="60"/>
      </w:pPr>
      <w:r>
        <w:t>Standard Class was the dominant shipping mode and generated the highest sales.</w:t>
      </w:r>
    </w:p>
    <w:p>
      <w:pPr>
        <w:pStyle w:val="ListBullet"/>
        <w:spacing w:after="60"/>
      </w:pPr>
      <w:r>
        <w:t>Same Day provided the fastest delivery option.</w:t>
      </w:r>
    </w:p>
    <w:p>
      <w:pPr>
        <w:pStyle w:val="ListBullet"/>
        <w:spacing w:after="60"/>
      </w:pPr>
      <w:r>
        <w:t>Shipping performance should be monitored alongside costs and profitability.</w:t>
      </w:r>
    </w:p>
    <w:p>
      <w:pPr>
        <w:pStyle w:val="Heading1"/>
      </w:pPr>
      <w:r>
        <w:t>13. Time &amp; Seasonal Analysis</w:t>
      </w:r>
    </w:p>
    <w:p>
      <w:r>
        <w:t>Time analysis was performed using Year, Month, Quarter, and Day-of-Week fields. A month-by-day heatmap was created in Power BI to identify periods of stronger and weaker sales.</w:t>
      </w:r>
    </w:p>
    <w:p>
      <w:pPr>
        <w:pStyle w:val="ListBullet"/>
        <w:spacing w:after="60"/>
      </w:pPr>
      <w:r>
        <w:t>2017 was the strongest year by sales.</w:t>
      </w:r>
    </w:p>
    <w:p>
      <w:pPr>
        <w:pStyle w:val="ListBullet"/>
        <w:spacing w:after="60"/>
      </w:pPr>
      <w:r>
        <w:t>Monthly and day-of-week patterns show variation in demand.</w:t>
      </w:r>
    </w:p>
    <w:p>
      <w:pPr>
        <w:pStyle w:val="ListBullet"/>
        <w:spacing w:after="60"/>
      </w:pPr>
      <w:r>
        <w:t>Patterns can support inventory planning and targeted promotional campaigns.</w:t>
      </w:r>
    </w:p>
    <w:p>
      <w:pPr>
        <w:pStyle w:val="ListBullet"/>
        <w:spacing w:after="60"/>
      </w:pPr>
      <w:r>
        <w:t>Year and category trends help identify category growth.</w:t>
      </w:r>
    </w:p>
    <w:p>
      <w:pPr>
        <w:pStyle w:val="Heading1"/>
      </w:pPr>
      <w:r>
        <w:t>14. Key Business Challenges</w:t>
      </w:r>
    </w:p>
    <w:p>
      <w:pPr>
        <w:pStyle w:val="ListBullet"/>
        <w:spacing w:after="60"/>
      </w:pPr>
      <w:r>
        <w:t>Overall profit margin of 12.47% leaves room for improvement.</w:t>
      </w:r>
    </w:p>
    <w:p>
      <w:pPr>
        <w:pStyle w:val="ListBullet"/>
        <w:spacing w:after="60"/>
      </w:pPr>
      <w:r>
        <w:t>Several products generate negative profit, especially Tables.</w:t>
      </w:r>
    </w:p>
    <w:p>
      <w:pPr>
        <w:pStyle w:val="ListBullet"/>
        <w:spacing w:after="60"/>
      </w:pPr>
      <w:r>
        <w:t>Texas and other weak-profit locations require investigation.</w:t>
      </w:r>
    </w:p>
    <w:p>
      <w:pPr>
        <w:pStyle w:val="ListBullet"/>
        <w:spacing w:after="60"/>
      </w:pPr>
      <w:r>
        <w:t>Some high-sales customers are not necessarily profitable.</w:t>
      </w:r>
    </w:p>
    <w:p>
      <w:pPr>
        <w:pStyle w:val="ListBullet"/>
        <w:spacing w:after="60"/>
      </w:pPr>
      <w:r>
        <w:t>Discounts need careful management.</w:t>
      </w:r>
    </w:p>
    <w:p>
      <w:pPr>
        <w:pStyle w:val="ListBullet"/>
        <w:spacing w:after="60"/>
      </w:pPr>
      <w:r>
        <w:t>Shipping performance should be balanced against cost and customer expectations.</w:t>
      </w:r>
    </w:p>
    <w:p>
      <w:pPr>
        <w:pStyle w:val="Heading1"/>
      </w:pPr>
      <w:r>
        <w:t>15. Business Recommendations</w:t>
      </w:r>
    </w:p>
    <w:tbl>
      <w:tblPr>
        <w:tblStyle w:val="TableGrid"/>
        <w:tblW w:type="auto" w:w="0"/>
        <w:jc w:val="center"/>
        <w:tblLook w:firstColumn="1" w:firstRow="1" w:lastColumn="0" w:lastRow="0" w:noHBand="0" w:noVBand="1" w:val="04A0"/>
      </w:tblPr>
      <w:tblGrid>
        <w:gridCol w:w="5040"/>
        <w:gridCol w:w="5040"/>
      </w:tblGrid>
      <w:tr>
        <w:tc>
          <w:tcPr>
            <w:tcW w:type="dxa" w:w="5040"/>
            <w:shd w:fill="1F3756"/>
          </w:tcPr>
          <w:p>
            <w:r>
              <w:rPr>
                <w:b/>
                <w:color w:val="FFFFFF"/>
                <w:sz w:val="18"/>
              </w:rPr>
              <w:t>Recommendation</w:t>
            </w:r>
          </w:p>
        </w:tc>
        <w:tc>
          <w:tcPr>
            <w:tcW w:type="dxa" w:w="5040"/>
            <w:shd w:fill="1F3756"/>
          </w:tcPr>
          <w:p>
            <w:r>
              <w:rPr>
                <w:b/>
                <w:color w:val="FFFFFF"/>
                <w:sz w:val="18"/>
              </w:rPr>
              <w:t>Expected Business Benefit</w:t>
            </w:r>
          </w:p>
        </w:tc>
      </w:tr>
      <w:tr>
        <w:tc>
          <w:tcPr>
            <w:tcW w:type="dxa" w:w="5040"/>
            <w:vAlign w:val="center"/>
          </w:tcPr>
          <w:p>
            <w:r>
              <w:rPr>
                <w:sz w:val="18"/>
              </w:rPr>
              <w:t>Review pricing for low-profit products</w:t>
            </w:r>
          </w:p>
        </w:tc>
        <w:tc>
          <w:tcPr>
            <w:tcW w:type="dxa" w:w="5040"/>
            <w:vAlign w:val="center"/>
          </w:tcPr>
          <w:p>
            <w:r>
              <w:rPr>
                <w:sz w:val="18"/>
              </w:rPr>
              <w:t>Improve product-level margins</w:t>
            </w:r>
          </w:p>
        </w:tc>
      </w:tr>
      <w:tr>
        <w:tc>
          <w:tcPr>
            <w:tcW w:type="dxa" w:w="5040"/>
            <w:vAlign w:val="center"/>
          </w:tcPr>
          <w:p>
            <w:r>
              <w:rPr>
                <w:sz w:val="18"/>
              </w:rPr>
              <w:t>Control excessive discounting</w:t>
            </w:r>
          </w:p>
        </w:tc>
        <w:tc>
          <w:tcPr>
            <w:tcW w:type="dxa" w:w="5040"/>
            <w:vAlign w:val="center"/>
          </w:tcPr>
          <w:p>
            <w:r>
              <w:rPr>
                <w:sz w:val="18"/>
              </w:rPr>
              <w:t>Protect profit while maintaining sales</w:t>
            </w:r>
          </w:p>
        </w:tc>
      </w:tr>
      <w:tr>
        <w:tc>
          <w:tcPr>
            <w:tcW w:type="dxa" w:w="5040"/>
            <w:vAlign w:val="center"/>
          </w:tcPr>
          <w:p>
            <w:r>
              <w:rPr>
                <w:sz w:val="18"/>
              </w:rPr>
              <w:t>Investigate Texas and loss-making states</w:t>
            </w:r>
          </w:p>
        </w:tc>
        <w:tc>
          <w:tcPr>
            <w:tcW w:type="dxa" w:w="5040"/>
            <w:vAlign w:val="center"/>
          </w:tcPr>
          <w:p>
            <w:r>
              <w:rPr>
                <w:sz w:val="18"/>
              </w:rPr>
              <w:t>Reduce regional losses</w:t>
            </w:r>
          </w:p>
        </w:tc>
      </w:tr>
      <w:tr>
        <w:tc>
          <w:tcPr>
            <w:tcW w:type="dxa" w:w="5040"/>
            <w:vAlign w:val="center"/>
          </w:tcPr>
          <w:p>
            <w:r>
              <w:rPr>
                <w:sz w:val="18"/>
              </w:rPr>
              <w:t>Focus inventory on high-performing products</w:t>
            </w:r>
          </w:p>
        </w:tc>
        <w:tc>
          <w:tcPr>
            <w:tcW w:type="dxa" w:w="5040"/>
            <w:vAlign w:val="center"/>
          </w:tcPr>
          <w:p>
            <w:r>
              <w:rPr>
                <w:sz w:val="18"/>
              </w:rPr>
              <w:t>Support revenue growth</w:t>
            </w:r>
          </w:p>
        </w:tc>
      </w:tr>
      <w:tr>
        <w:tc>
          <w:tcPr>
            <w:tcW w:type="dxa" w:w="5040"/>
            <w:vAlign w:val="center"/>
          </w:tcPr>
          <w:p>
            <w:r>
              <w:rPr>
                <w:sz w:val="18"/>
              </w:rPr>
              <w:t>Retain high-profit customers</w:t>
            </w:r>
          </w:p>
        </w:tc>
        <w:tc>
          <w:tcPr>
            <w:tcW w:type="dxa" w:w="5040"/>
            <w:vAlign w:val="center"/>
          </w:tcPr>
          <w:p>
            <w:r>
              <w:rPr>
                <w:sz w:val="18"/>
              </w:rPr>
              <w:t>Increase customer lifetime value</w:t>
            </w:r>
          </w:p>
        </w:tc>
      </w:tr>
      <w:tr>
        <w:tc>
          <w:tcPr>
            <w:tcW w:type="dxa" w:w="5040"/>
            <w:vAlign w:val="center"/>
          </w:tcPr>
          <w:p>
            <w:r>
              <w:rPr>
                <w:sz w:val="18"/>
              </w:rPr>
              <w:t>Review high-sales / low-profit customers</w:t>
            </w:r>
          </w:p>
        </w:tc>
        <w:tc>
          <w:tcPr>
            <w:tcW w:type="dxa" w:w="5040"/>
            <w:vAlign w:val="center"/>
          </w:tcPr>
          <w:p>
            <w:r>
              <w:rPr>
                <w:sz w:val="18"/>
              </w:rPr>
              <w:t>Improve customer profitability</w:t>
            </w:r>
          </w:p>
        </w:tc>
      </w:tr>
      <w:tr>
        <w:tc>
          <w:tcPr>
            <w:tcW w:type="dxa" w:w="5040"/>
            <w:vAlign w:val="center"/>
          </w:tcPr>
          <w:p>
            <w:r>
              <w:rPr>
                <w:sz w:val="18"/>
              </w:rPr>
              <w:t>Optimize shipping efficiency</w:t>
            </w:r>
          </w:p>
        </w:tc>
        <w:tc>
          <w:tcPr>
            <w:tcW w:type="dxa" w:w="5040"/>
            <w:vAlign w:val="center"/>
          </w:tcPr>
          <w:p>
            <w:r>
              <w:rPr>
                <w:sz w:val="18"/>
              </w:rPr>
              <w:t>Reduce delivery time and costs</w:t>
            </w:r>
          </w:p>
        </w:tc>
      </w:tr>
      <w:tr>
        <w:tc>
          <w:tcPr>
            <w:tcW w:type="dxa" w:w="5040"/>
            <w:vAlign w:val="center"/>
          </w:tcPr>
          <w:p>
            <w:r>
              <w:rPr>
                <w:sz w:val="18"/>
              </w:rPr>
              <w:t>Use seasonal patterns for campaigns</w:t>
            </w:r>
          </w:p>
        </w:tc>
        <w:tc>
          <w:tcPr>
            <w:tcW w:type="dxa" w:w="5040"/>
            <w:vAlign w:val="center"/>
          </w:tcPr>
          <w:p>
            <w:r>
              <w:rPr>
                <w:sz w:val="18"/>
              </w:rPr>
              <w:t>Improve demand planning</w:t>
            </w:r>
          </w:p>
        </w:tc>
      </w:tr>
    </w:tbl>
    <w:p/>
    <w:p>
      <w:pPr>
        <w:pStyle w:val="Heading1"/>
      </w:pPr>
      <w:r>
        <w:t>16. Conclusion</w:t>
      </w:r>
    </w:p>
    <w:p>
      <w:r>
        <w:t>The E-Commerce Sales Analytics project demonstrates how transactional retail data can be transformed into useful business intelligence using Python, PostgreSQL, and Power BI. The analysis identified strong sales performance in Technology, Phones, the West region, and several high-value customers.</w:t>
      </w:r>
    </w:p>
    <w:p>
      <w:r>
        <w:t>At the same time, negative-profit products, states, and customers show that revenue growth alone is not sufficient. Improving margins through better pricing, discount control, product selection, regional strategy, customer profitability management, and shipping efficiency can create stronger business results.</w:t>
      </w:r>
    </w:p>
    <w:p>
      <w:r>
        <w:t>The resulting Power BI dashboard provides management with an interactive view of sales, profitability, customers, products, regions, time trends, and shipping performance, supporting more informed business decisions.</w:t>
      </w:r>
    </w:p>
    <w:p>
      <w:pPr>
        <w:pStyle w:val="Heading1"/>
      </w:pPr>
      <w:r>
        <w:t>17. Power BI Dashboard</w:t>
      </w:r>
    </w:p>
    <w:p>
      <w:r>
        <w:t>The final Power BI solution was organized into four pages to provide a clear business story.</w:t>
      </w:r>
    </w:p>
    <w:tbl>
      <w:tblPr>
        <w:tblStyle w:val="TableGrid"/>
        <w:tblW w:type="auto" w:w="0"/>
        <w:jc w:val="center"/>
        <w:tblLook w:firstColumn="1" w:firstRow="1" w:lastColumn="0" w:lastRow="0" w:noHBand="0" w:noVBand="1" w:val="04A0"/>
      </w:tblPr>
      <w:tblGrid>
        <w:gridCol w:w="5040"/>
        <w:gridCol w:w="5040"/>
      </w:tblGrid>
      <w:tr>
        <w:tc>
          <w:tcPr>
            <w:tcW w:type="dxa" w:w="5040"/>
            <w:shd w:fill="1F3756"/>
          </w:tcPr>
          <w:p>
            <w:r>
              <w:rPr>
                <w:b/>
                <w:color w:val="FFFFFF"/>
                <w:sz w:val="18"/>
              </w:rPr>
              <w:t>Page</w:t>
            </w:r>
          </w:p>
        </w:tc>
        <w:tc>
          <w:tcPr>
            <w:tcW w:type="dxa" w:w="5040"/>
            <w:shd w:fill="1F3756"/>
          </w:tcPr>
          <w:p>
            <w:r>
              <w:rPr>
                <w:b/>
                <w:color w:val="FFFFFF"/>
                <w:sz w:val="18"/>
              </w:rPr>
              <w:t>Purpose</w:t>
            </w:r>
          </w:p>
        </w:tc>
      </w:tr>
      <w:tr>
        <w:tc>
          <w:tcPr>
            <w:tcW w:type="dxa" w:w="5040"/>
            <w:vAlign w:val="center"/>
          </w:tcPr>
          <w:p>
            <w:r>
              <w:rPr>
                <w:sz w:val="18"/>
              </w:rPr>
              <w:t>Page 1 — Executive Overview</w:t>
            </w:r>
          </w:p>
        </w:tc>
        <w:tc>
          <w:tcPr>
            <w:tcW w:type="dxa" w:w="5040"/>
            <w:vAlign w:val="center"/>
          </w:tcPr>
          <w:p>
            <w:r>
              <w:rPr>
                <w:sz w:val="18"/>
              </w:rPr>
              <w:t>KPIs, sales, profit, category, region, and overall performance</w:t>
            </w:r>
          </w:p>
        </w:tc>
      </w:tr>
      <w:tr>
        <w:tc>
          <w:tcPr>
            <w:tcW w:type="dxa" w:w="5040"/>
            <w:vAlign w:val="center"/>
          </w:tcPr>
          <w:p>
            <w:r>
              <w:rPr>
                <w:sz w:val="18"/>
              </w:rPr>
              <w:t>Page 2 — Regional &amp; Product Performance</w:t>
            </w:r>
          </w:p>
        </w:tc>
        <w:tc>
          <w:tcPr>
            <w:tcW w:type="dxa" w:w="5040"/>
            <w:vAlign w:val="center"/>
          </w:tcPr>
          <w:p>
            <w:r>
              <w:rPr>
                <w:sz w:val="18"/>
              </w:rPr>
              <w:t>Regional, state, sub-category, and profitability analysis</w:t>
            </w:r>
          </w:p>
        </w:tc>
      </w:tr>
      <w:tr>
        <w:tc>
          <w:tcPr>
            <w:tcW w:type="dxa" w:w="5040"/>
            <w:vAlign w:val="center"/>
          </w:tcPr>
          <w:p>
            <w:r>
              <w:rPr>
                <w:sz w:val="18"/>
              </w:rPr>
              <w:t>Page 3 — Customer &amp; Product Analysis</w:t>
            </w:r>
          </w:p>
        </w:tc>
        <w:tc>
          <w:tcPr>
            <w:tcW w:type="dxa" w:w="5040"/>
            <w:vAlign w:val="center"/>
          </w:tcPr>
          <w:p>
            <w:r>
              <w:rPr>
                <w:sz w:val="18"/>
              </w:rPr>
              <w:t>Customer performance, category trends, and time patterns</w:t>
            </w:r>
          </w:p>
        </w:tc>
      </w:tr>
      <w:tr>
        <w:tc>
          <w:tcPr>
            <w:tcW w:type="dxa" w:w="5040"/>
            <w:vAlign w:val="center"/>
          </w:tcPr>
          <w:p>
            <w:r>
              <w:rPr>
                <w:sz w:val="18"/>
              </w:rPr>
              <w:t>Page 4 — Executive Business Summary</w:t>
            </w:r>
          </w:p>
        </w:tc>
        <w:tc>
          <w:tcPr>
            <w:tcW w:type="dxa" w:w="5040"/>
            <w:vAlign w:val="center"/>
          </w:tcPr>
          <w:p>
            <w:r>
              <w:rPr>
                <w:sz w:val="18"/>
              </w:rPr>
              <w:t>Key insights, challenges, and recommendations</w:t>
            </w:r>
          </w:p>
        </w:tc>
      </w:tr>
    </w:tbl>
    <w:p/>
    <w:p>
      <w:pPr>
        <w:pStyle w:val="Heading1"/>
      </w:pPr>
      <w:r>
        <w:t>18. Appendix</w:t>
      </w:r>
    </w:p>
    <w:p>
      <w:pPr>
        <w:pStyle w:val="Heading2"/>
      </w:pPr>
      <w:r>
        <w:t>A. Example SQL Analysis</w:t>
      </w:r>
    </w:p>
    <w:p>
      <w:r>
        <w:rPr>
          <w:rFonts w:ascii="Consolas" w:hAnsi="Consolas"/>
          <w:sz w:val="17"/>
        </w:rPr>
        <w:t>Monthly Sales:</w:t>
        <w:br/>
        <w:t>SELECT year, month, SUM(sales) AS total_sales</w:t>
        <w:br/>
        <w:t>FROM superstore</w:t>
        <w:br/>
        <w:t>GROUP BY year, month</w:t>
        <w:br/>
        <w:t>ORDER BY year, month;</w:t>
      </w:r>
    </w:p>
    <w:p>
      <w:pPr>
        <w:pStyle w:val="Heading2"/>
      </w:pPr>
      <w:r>
        <w:t>B. Key Calculations</w:t>
      </w:r>
    </w:p>
    <w:p>
      <w:pPr>
        <w:pStyle w:val="ListBullet"/>
        <w:spacing w:after="60"/>
      </w:pPr>
      <w:r>
        <w:t>Profit Margin = Total Profit ÷ Total Sales.</w:t>
      </w:r>
    </w:p>
    <w:p>
      <w:pPr>
        <w:pStyle w:val="ListBullet"/>
        <w:spacing w:after="60"/>
      </w:pPr>
      <w:r>
        <w:t>Shipping Days = Ship Date − Order Date.</w:t>
      </w:r>
    </w:p>
    <w:p>
      <w:pPr>
        <w:pStyle w:val="ListBullet"/>
        <w:spacing w:after="60"/>
      </w:pPr>
      <w:r>
        <w:t>Year, Month, Quarter, Day Name, and Day Number were derived from Order Date.</w:t>
      </w:r>
    </w:p>
    <w:p>
      <w:pPr>
        <w:pStyle w:val="ListBullet"/>
        <w:spacing w:after="60"/>
      </w:pPr>
      <w:r>
        <w:t>Top and bottom analyses were ranked using Sales and Profit.</w:t>
      </w:r>
    </w:p>
    <w:p>
      <w:pPr>
        <w:pStyle w:val="Heading2"/>
      </w:pPr>
      <w:r>
        <w:t>C. Data Source Note</w:t>
      </w:r>
    </w:p>
    <w:p>
      <w:r>
        <w:t>Source: Sample Superstore dataset. Analysis period: 2014–2017. Monetary values are in USD.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E-Commerce Sales Analytics | Business Intelligence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7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7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7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37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