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Calibri" w:hAnsi="Calibri"/>
          <w:b/>
          <w:color w:val="0B2545"/>
          <w:sz w:val="46"/>
        </w:rPr>
        <w:t>DISTRIBUTED ASSESSMENT</w:t>
      </w:r>
    </w:p>
    <w:p>
      <w:pPr>
        <w:spacing w:before="0" w:after="280"/>
      </w:pPr>
      <w:r>
        <w:rPr>
          <w:rFonts w:ascii="Calibri" w:hAnsi="Calibri"/>
          <w:color w:val="5B6573"/>
          <w:sz w:val="28"/>
        </w:rPr>
        <w:t>What remains before production rollout</w:t>
      </w:r>
    </w:p>
    <w:p>
      <w:pPr>
        <w:spacing w:after="240"/>
      </w:pPr>
      <w:r>
        <w:rPr>
          <w:rFonts w:ascii="Calibri" w:hAnsi="Calibri"/>
          <w:b/>
          <w:sz w:val="21"/>
        </w:rPr>
        <w:t xml:space="preserve">Branch: </w:t>
      </w:r>
      <w:r>
        <w:rPr>
          <w:rFonts w:ascii="Calibri" w:hAnsi="Calibri"/>
          <w:color w:val="5B6573"/>
          <w:sz w:val="21"/>
        </w:rPr>
        <w:t>codex/distributed-lab-assessment  |  Current commit: 304f107  |  Audience: faculty, IT, and release owner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B"/>
          </w:tcPr>
          <w:p>
            <w:pPr>
              <w:spacing w:before="40" w:after="40" w:line="276" w:lineRule="auto"/>
            </w:pPr>
            <w:r>
              <w:rPr>
                <w:rFonts w:ascii="Calibri" w:hAnsi="Calibri"/>
                <w:b/>
                <w:color w:val="0B2545"/>
                <w:sz w:val="21"/>
              </w:rPr>
              <w:t xml:space="preserve">Bottom line  </w:t>
            </w:r>
            <w:r>
              <w:rPr>
                <w:rFonts w:ascii="Calibri" w:hAnsi="Calibri"/>
                <w:sz w:val="21"/>
              </w:rPr>
              <w:t>The product implementation is complete for the agreed design: one coordinator plus separately installed Windows clients, local answering and timers, same questions in a per-student order, same-computer resume, and sealed result submission. The remaining work is release and deployment readiness, not a redesign of the assessment workflow.</w:t>
            </w:r>
          </w:p>
        </w:tc>
      </w:tr>
    </w:tbl>
    <w:p>
      <w:pPr>
        <w:spacing w:after="0"/>
      </w:pPr>
    </w:p>
    <w:p>
      <w:pPr>
        <w:pStyle w:val="Heading1"/>
      </w:pPr>
      <w:r>
        <w:rPr>
          <w:rFonts w:ascii="Calibri" w:hAnsi="Calibri"/>
          <w:b/>
          <w:color w:val="2E74B5"/>
          <w:sz w:val="32"/>
        </w:rPr>
        <w:t>Current status</w:t>
      </w:r>
    </w:p>
    <w:p>
      <w:pPr/>
      <w:r>
        <w:rPr>
          <w:rFonts w:ascii="Calibri" w:hAnsi="Calibri"/>
        </w:rPr>
        <w:t>The source branch contains the distributed coordinator/client implementation, protected client service boundary, durable local outbox, outage recovery, faculty controls, compatibility migration, separate Windows packaging, and the configurable saved coordinator URL workflow.</w:t>
      </w:r>
    </w:p>
    <w:p>
      <w:pPr/>
      <w:r>
        <w:rPr>
          <w:rFonts w:ascii="Calibri" w:hAnsi="Calibri"/>
        </w:rPr>
        <w:t>Verification already recorded: the canonical Node-enabled suite passed 462/462; focused recovery/migration/installer/checkpoint tests passed 22/22; the latest client-store correction passed 59/59 focused tests; 30-client, 100-client, and 100-client outage/restart gates passed their correctness and submission thresholds. The outage run has one explicitly accepted local-answer p99 miss (109.184 ms versus the unchanged 100 ms target). The 462-test and load-gate runs predate commit 304f107, so the latest commit still needs a final independent review and, if required by the release owner, a final evidence rerun.</w:t>
      </w:r>
    </w:p>
    <w:p>
      <w:pPr/>
      <w:r>
        <w:rPr>
          <w:rFonts w:ascii="Calibri" w:hAnsi="Calibri"/>
        </w:rPr>
        <w:t>The current release folder contains separate coordinator and client executables/installers plus SHA-256 hashes. Those artifacts are verification builds only until the institution supplies its production Authenticode identity and timestamp service.</w:t>
      </w:r>
    </w:p>
    <w:p>
      <w:pPr>
        <w:pStyle w:val="Heading1"/>
      </w:pPr>
      <w:r>
        <w:rPr>
          <w:rFonts w:ascii="Calibri" w:hAnsi="Calibri"/>
          <w:b/>
          <w:color w:val="2E74B5"/>
          <w:sz w:val="32"/>
        </w:rPr>
        <w:t>Remaining work: required gates</w:t>
      </w:r>
    </w:p>
    <w:tbl>
      <w:tblPr>
        <w:tblStyle w:val="TableGrid"/>
        <w:tblW w:type="dxa" w:w="9360"/>
        <w:tblLayout w:type="fixed"/>
        <w:tblLook w:firstColumn="1" w:firstRow="1" w:lastColumn="0" w:lastRow="0" w:noHBand="0" w:noVBand="1" w:val="04A0"/>
        <w:jc w:val="left"/>
        <w:tblInd w:w="120" w:type="dxa"/>
      </w:tblPr>
      <w:tblGrid>
        <w:gridCol w:w="1600"/>
        <w:gridCol w:w="3000"/>
        <w:gridCol w:w="2500"/>
        <w:gridCol w:w="2260"/>
      </w:tblGrid>
      <w:tr>
        <w:tc>
          <w:tcPr>
            <w:tcW w:type="dxa" w:w="1600"/>
            <w:tcMar>
              <w:top w:w="80" w:type="dxa"/>
              <w:start w:w="120" w:type="dxa"/>
              <w:bottom w:w="80" w:type="dxa"/>
              <w:end w:w="120" w:type="dxa"/>
            </w:tcMar>
            <w:vAlign w:val="center"/>
            <w:shd w:fill="E8EEF5"/>
          </w:tcPr>
          <w:p>
            <w:pPr>
              <w:spacing w:before="0" w:after="0" w:line="264" w:lineRule="auto"/>
              <w:jc w:val="left"/>
            </w:pPr>
            <w:r>
              <w:rPr>
                <w:rFonts w:ascii="Calibri" w:hAnsi="Calibri"/>
                <w:b/>
                <w:color w:val="0B2545"/>
                <w:sz w:val="19"/>
              </w:rPr>
              <w:t>Priority / status</w:t>
            </w:r>
          </w:p>
        </w:tc>
        <w:tc>
          <w:tcPr>
            <w:tcW w:type="dxa" w:w="3000"/>
            <w:tcMar>
              <w:top w:w="80" w:type="dxa"/>
              <w:start w:w="120" w:type="dxa"/>
              <w:bottom w:w="80" w:type="dxa"/>
              <w:end w:w="120" w:type="dxa"/>
            </w:tcMar>
            <w:vAlign w:val="center"/>
            <w:shd w:fill="E8EEF5"/>
          </w:tcPr>
          <w:p>
            <w:pPr>
              <w:spacing w:before="0" w:after="0" w:line="264" w:lineRule="auto"/>
              <w:jc w:val="left"/>
            </w:pPr>
            <w:r>
              <w:rPr>
                <w:rFonts w:ascii="Calibri" w:hAnsi="Calibri"/>
                <w:b/>
                <w:color w:val="0B2545"/>
                <w:sz w:val="19"/>
              </w:rPr>
              <w:t>Remaining work</w:t>
            </w:r>
          </w:p>
        </w:tc>
        <w:tc>
          <w:tcPr>
            <w:tcW w:type="dxa" w:w="2500"/>
            <w:tcMar>
              <w:top w:w="80" w:type="dxa"/>
              <w:start w:w="120" w:type="dxa"/>
              <w:bottom w:w="80" w:type="dxa"/>
              <w:end w:w="120" w:type="dxa"/>
            </w:tcMar>
            <w:vAlign w:val="center"/>
            <w:shd w:fill="E8EEF5"/>
          </w:tcPr>
          <w:p>
            <w:pPr>
              <w:spacing w:before="0" w:after="0" w:line="264" w:lineRule="auto"/>
              <w:jc w:val="left"/>
            </w:pPr>
            <w:r>
              <w:rPr>
                <w:rFonts w:ascii="Calibri" w:hAnsi="Calibri"/>
                <w:b/>
                <w:color w:val="0B2545"/>
                <w:sz w:val="19"/>
              </w:rPr>
              <w:t>Why it is required</w:t>
            </w:r>
          </w:p>
        </w:tc>
        <w:tc>
          <w:tcPr>
            <w:tcW w:type="dxa" w:w="2260"/>
            <w:tcMar>
              <w:top w:w="80" w:type="dxa"/>
              <w:start w:w="120" w:type="dxa"/>
              <w:bottom w:w="80" w:type="dxa"/>
              <w:end w:w="120" w:type="dxa"/>
            </w:tcMar>
            <w:vAlign w:val="center"/>
            <w:shd w:fill="E8EEF5"/>
          </w:tcPr>
          <w:p>
            <w:pPr>
              <w:spacing w:before="0" w:after="0" w:line="264" w:lineRule="auto"/>
              <w:jc w:val="left"/>
            </w:pPr>
            <w:r>
              <w:rPr>
                <w:rFonts w:ascii="Calibri" w:hAnsi="Calibri"/>
                <w:b/>
                <w:color w:val="0B2545"/>
                <w:sz w:val="19"/>
              </w:rPr>
              <w:t>Completion evidence</w:t>
            </w:r>
          </w:p>
        </w:tc>
      </w:tr>
      <w:tr>
        <w:tc>
          <w:tcPr>
            <w:tcW w:type="dxa" w:w="1600"/>
            <w:shd w:fill="FDECEC"/>
            <w:tcMar>
              <w:top w:w="80" w:type="dxa"/>
              <w:start w:w="120" w:type="dxa"/>
              <w:bottom w:w="80" w:type="dxa"/>
              <w:end w:w="120" w:type="dxa"/>
            </w:tcMar>
            <w:vAlign w:val="center"/>
          </w:tcPr>
          <w:p>
            <w:pPr>
              <w:spacing w:before="0" w:after="0" w:line="264" w:lineRule="auto"/>
              <w:jc w:val="left"/>
            </w:pPr>
            <w:r>
              <w:rPr>
                <w:rFonts w:ascii="Calibri" w:hAnsi="Calibri"/>
                <w:b w:val="0"/>
                <w:sz w:val="18"/>
              </w:rPr>
              <w:t>BLOCKING — release</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b w:val="0"/>
                <w:sz w:val="18"/>
              </w:rPr>
              <w:t>Supply the institution-controlled signing inputs: PFX, protected password, exact publisher subject, and HTTPS timestamp URL. Run the fail-closed production build and regenerate hashes.</w:t>
            </w:r>
          </w:p>
        </w:tc>
        <w:tc>
          <w:tcPr>
            <w:tcW w:type="dxa" w:w="2500"/>
            <w:tcMar>
              <w:top w:w="80" w:type="dxa"/>
              <w:start w:w="120" w:type="dxa"/>
              <w:bottom w:w="80" w:type="dxa"/>
              <w:end w:w="120" w:type="dxa"/>
            </w:tcMar>
            <w:vAlign w:val="center"/>
          </w:tcPr>
          <w:p>
            <w:pPr>
              <w:spacing w:before="0" w:after="0" w:line="264" w:lineRule="auto"/>
              <w:jc w:val="left"/>
            </w:pPr>
            <w:r>
              <w:rPr>
                <w:rFonts w:ascii="Calibri" w:hAnsi="Calibri"/>
                <w:b w:val="0"/>
                <w:sz w:val="18"/>
              </w:rPr>
              <w:t>The current test-signed binaries must not be distributed as production installers.</w:t>
            </w:r>
          </w:p>
        </w:tc>
        <w:tc>
          <w:tcPr>
            <w:tcW w:type="dxa" w:w="2260"/>
            <w:tcMar>
              <w:top w:w="80" w:type="dxa"/>
              <w:start w:w="120" w:type="dxa"/>
              <w:bottom w:w="80" w:type="dxa"/>
              <w:end w:w="120" w:type="dxa"/>
            </w:tcMar>
            <w:vAlign w:val="center"/>
          </w:tcPr>
          <w:p>
            <w:pPr>
              <w:spacing w:before="0" w:after="0" w:line="264" w:lineRule="auto"/>
              <w:jc w:val="left"/>
            </w:pPr>
            <w:r>
              <w:rPr>
                <w:rFonts w:ascii="Calibri" w:hAnsi="Calibri"/>
                <w:b w:val="0"/>
                <w:sz w:val="18"/>
              </w:rPr>
              <w:t>Production build completes; Authenticode publisher, timestamp, inner/installer signatures, recursive payload scan, smoke, and hashes all pass.</w:t>
            </w:r>
          </w:p>
        </w:tc>
      </w:tr>
      <w:tr>
        <w:tc>
          <w:tcPr>
            <w:tcW w:type="dxa" w:w="1600"/>
            <w:shd w:fill="FDECEC"/>
            <w:tcMar>
              <w:top w:w="80" w:type="dxa"/>
              <w:start w:w="120" w:type="dxa"/>
              <w:bottom w:w="80" w:type="dxa"/>
              <w:end w:w="120" w:type="dxa"/>
            </w:tcMar>
            <w:vAlign w:val="center"/>
          </w:tcPr>
          <w:p>
            <w:pPr>
              <w:spacing w:before="0" w:after="0" w:line="264" w:lineRule="auto"/>
              <w:jc w:val="left"/>
            </w:pPr>
            <w:r>
              <w:rPr>
                <w:rFonts w:ascii="Calibri" w:hAnsi="Calibri"/>
                <w:b w:val="0"/>
                <w:sz w:val="18"/>
              </w:rPr>
              <w:t>BLOCKING — assurance</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b w:val="0"/>
                <w:sz w:val="18"/>
              </w:rPr>
              <w:t>Run the final scoped independent review against commit 304f107, including the atomic legacy-state migration and transient-anchor recovery correction.</w:t>
            </w:r>
          </w:p>
        </w:tc>
        <w:tc>
          <w:tcPr>
            <w:tcW w:type="dxa" w:w="2500"/>
            <w:tcMar>
              <w:top w:w="80" w:type="dxa"/>
              <w:start w:w="120" w:type="dxa"/>
              <w:bottom w:w="80" w:type="dxa"/>
              <w:end w:w="120" w:type="dxa"/>
            </w:tcMar>
            <w:vAlign w:val="center"/>
          </w:tcPr>
          <w:p>
            <w:pPr>
              <w:spacing w:before="0" w:after="0" w:line="264" w:lineRule="auto"/>
              <w:jc w:val="left"/>
            </w:pPr>
            <w:r>
              <w:rPr>
                <w:rFonts w:ascii="Calibri" w:hAnsi="Calibri"/>
                <w:b w:val="0"/>
                <w:sz w:val="18"/>
              </w:rPr>
              <w:t>The latest correction was focused-tested but has not yet received a fresh independent sign-off in the recorded review ledger.</w:t>
            </w:r>
          </w:p>
        </w:tc>
        <w:tc>
          <w:tcPr>
            <w:tcW w:type="dxa" w:w="2260"/>
            <w:tcMar>
              <w:top w:w="80" w:type="dxa"/>
              <w:start w:w="120" w:type="dxa"/>
              <w:bottom w:w="80" w:type="dxa"/>
              <w:end w:w="120" w:type="dxa"/>
            </w:tcMar>
            <w:vAlign w:val="center"/>
          </w:tcPr>
          <w:p>
            <w:pPr>
              <w:spacing w:before="0" w:after="0" w:line="264" w:lineRule="auto"/>
              <w:jc w:val="left"/>
            </w:pPr>
            <w:r>
              <w:rPr>
                <w:rFonts w:ascii="Calibri" w:hAnsi="Calibri"/>
                <w:b w:val="0"/>
                <w:sz w:val="18"/>
              </w:rPr>
              <w:t>Reviewer records no Critical or Important findings for the final commit.</w:t>
            </w:r>
          </w:p>
        </w:tc>
      </w:tr>
      <w:tr>
        <w:tc>
          <w:tcPr>
            <w:tcW w:type="dxa" w:w="1600"/>
            <w:shd w:fill="FDECEC"/>
            <w:tcMar>
              <w:top w:w="80" w:type="dxa"/>
              <w:start w:w="120" w:type="dxa"/>
              <w:bottom w:w="80" w:type="dxa"/>
              <w:end w:w="120" w:type="dxa"/>
            </w:tcMar>
            <w:vAlign w:val="center"/>
          </w:tcPr>
          <w:p>
            <w:pPr>
              <w:spacing w:before="0" w:after="0" w:line="264" w:lineRule="auto"/>
              <w:jc w:val="left"/>
            </w:pPr>
            <w:r>
              <w:rPr>
                <w:rFonts w:ascii="Calibri" w:hAnsi="Calibri"/>
                <w:b w:val="0"/>
                <w:sz w:val="18"/>
              </w:rPr>
              <w:t>BLOCKING — physical acceptance</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b w:val="0"/>
                <w:sz w:val="18"/>
              </w:rPr>
              <w:t>On disposable authorized Windows machines, install coordinator and client packages, verify LocalSystem service ownership, protected ACLs, machine-root CA, private firewall rule, loopback-only client UI, enrollment, one assessment, and coordinator outage/restart.</w:t>
            </w:r>
          </w:p>
        </w:tc>
        <w:tc>
          <w:tcPr>
            <w:tcW w:type="dxa" w:w="2500"/>
            <w:tcMar>
              <w:top w:w="80" w:type="dxa"/>
              <w:start w:w="120" w:type="dxa"/>
              <w:bottom w:w="80" w:type="dxa"/>
              <w:end w:w="120" w:type="dxa"/>
            </w:tcMar>
            <w:vAlign w:val="center"/>
          </w:tcPr>
          <w:p>
            <w:pPr>
              <w:spacing w:before="0" w:after="0" w:line="264" w:lineRule="auto"/>
              <w:jc w:val="left"/>
            </w:pPr>
            <w:r>
              <w:rPr>
                <w:rFonts w:ascii="Calibri" w:hAnsi="Calibri"/>
                <w:b w:val="0"/>
                <w:sz w:val="18"/>
              </w:rPr>
              <w:t>Automated isolated tests cannot prove Windows service, ACL, certificate-store, firewall, or installer behavior on intended hardware.</w:t>
            </w:r>
          </w:p>
        </w:tc>
        <w:tc>
          <w:tcPr>
            <w:tcW w:type="dxa" w:w="2260"/>
            <w:tcMar>
              <w:top w:w="80" w:type="dxa"/>
              <w:start w:w="120" w:type="dxa"/>
              <w:bottom w:w="80" w:type="dxa"/>
              <w:end w:w="120" w:type="dxa"/>
            </w:tcMar>
            <w:vAlign w:val="center"/>
          </w:tcPr>
          <w:p>
            <w:pPr>
              <w:spacing w:before="0" w:after="0" w:line="264" w:lineRule="auto"/>
              <w:jc w:val="left"/>
            </w:pPr>
            <w:r>
              <w:rPr>
                <w:rFonts w:ascii="Calibri" w:hAnsi="Calibri"/>
                <w:b w:val="0"/>
                <w:sz w:val="18"/>
              </w:rPr>
              <w:t>Signed acceptance checklist and logs from one coordinator plus representative lab clients.</w:t>
            </w:r>
          </w:p>
        </w:tc>
      </w:tr>
      <w:tr>
        <w:tc>
          <w:tcPr>
            <w:tcW w:type="dxa" w:w="1600"/>
            <w:tcMar>
              <w:top w:w="80" w:type="dxa"/>
              <w:start w:w="120" w:type="dxa"/>
              <w:bottom w:w="80" w:type="dxa"/>
              <w:end w:w="120" w:type="dxa"/>
            </w:tcMar>
            <w:vAlign w:val="center"/>
          </w:tcPr>
          <w:p>
            <w:pPr>
              <w:spacing w:before="0" w:after="0" w:line="264" w:lineRule="auto"/>
              <w:jc w:val="left"/>
            </w:pPr>
            <w:r>
              <w:rPr>
                <w:rFonts w:ascii="Calibri" w:hAnsi="Calibri"/>
                <w:b w:val="0"/>
                <w:sz w:val="18"/>
              </w:rPr>
              <w:t>CONDITIONAL — data</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b w:val="0"/>
                <w:sz w:val="18"/>
              </w:rPr>
              <w:t>If an existing pre-2.0 Aptitude Lab database must be retained, take a complete backup, run the compatibility migration dry-run, review counts/integrity, then perform the confirmed additive migration.</w:t>
            </w:r>
          </w:p>
        </w:tc>
        <w:tc>
          <w:tcPr>
            <w:tcW w:type="dxa" w:w="2500"/>
            <w:tcMar>
              <w:top w:w="80" w:type="dxa"/>
              <w:start w:w="120" w:type="dxa"/>
              <w:bottom w:w="80" w:type="dxa"/>
              <w:end w:w="120" w:type="dxa"/>
            </w:tcMar>
            <w:vAlign w:val="center"/>
          </w:tcPr>
          <w:p>
            <w:pPr>
              <w:spacing w:before="0" w:after="0" w:line="264" w:lineRule="auto"/>
              <w:jc w:val="left"/>
            </w:pPr>
            <w:r>
              <w:rPr>
                <w:rFonts w:ascii="Calibri" w:hAnsi="Calibri"/>
                <w:b w:val="0"/>
                <w:sz w:val="18"/>
              </w:rPr>
              <w:t>Skipping the controlled migration risks losing historical students, attempts, responses, scores, or keys.</w:t>
            </w:r>
          </w:p>
        </w:tc>
        <w:tc>
          <w:tcPr>
            <w:tcW w:type="dxa" w:w="2260"/>
            <w:tcMar>
              <w:top w:w="80" w:type="dxa"/>
              <w:start w:w="120" w:type="dxa"/>
              <w:bottom w:w="80" w:type="dxa"/>
              <w:end w:w="120" w:type="dxa"/>
            </w:tcMar>
            <w:vAlign w:val="center"/>
          </w:tcPr>
          <w:p>
            <w:pPr>
              <w:spacing w:before="0" w:after="0" w:line="264" w:lineRule="auto"/>
              <w:jc w:val="left"/>
            </w:pPr>
            <w:r>
              <w:rPr>
                <w:rFonts w:ascii="Calibri" w:hAnsi="Calibri"/>
                <w:b w:val="0"/>
                <w:sz w:val="18"/>
              </w:rPr>
              <w:t>Dry-run report approved; live migration backup and post-migration integrity/row-count checks match.</w:t>
            </w:r>
          </w:p>
        </w:tc>
      </w:tr>
    </w:tbl>
    <w:p>
      <w:pPr>
        <w:spacing w:after="0"/>
      </w:pPr>
    </w:p>
    <w:p>
      <w:pPr>
        <w:pStyle w:val="Heading1"/>
      </w:pPr>
      <w:r>
        <w:rPr>
          <w:rFonts w:ascii="Calibri" w:hAnsi="Calibri"/>
          <w:b/>
          <w:color w:val="2E74B5"/>
          <w:sz w:val="32"/>
        </w:rPr>
        <w:t>Remaining work: deployment and operations</w:t>
      </w:r>
    </w:p>
    <w:tbl>
      <w:tblPr>
        <w:tblStyle w:val="TableGrid"/>
        <w:tblW w:type="dxa" w:w="9360"/>
        <w:tblLayout w:type="fixed"/>
        <w:tblLook w:firstColumn="1" w:firstRow="1" w:lastColumn="0" w:lastRow="0" w:noHBand="0" w:noVBand="1" w:val="04A0"/>
        <w:jc w:val="left"/>
        <w:tblInd w:w="120" w:type="dxa"/>
      </w:tblPr>
      <w:tblGrid>
        <w:gridCol w:w="700"/>
        <w:gridCol w:w="3600"/>
        <w:gridCol w:w="1200"/>
        <w:gridCol w:w="3860"/>
      </w:tblGrid>
      <w:tr>
        <w:tc>
          <w:tcPr>
            <w:tcW w:type="dxa" w:w="700"/>
            <w:tcMar>
              <w:top w:w="80" w:type="dxa"/>
              <w:start w:w="120" w:type="dxa"/>
              <w:bottom w:w="80" w:type="dxa"/>
              <w:end w:w="120" w:type="dxa"/>
            </w:tcMar>
            <w:vAlign w:val="center"/>
            <w:shd w:fill="E8EEF5"/>
          </w:tcPr>
          <w:p>
            <w:pPr>
              <w:spacing w:before="0" w:after="0" w:line="264" w:lineRule="auto"/>
              <w:jc w:val="left"/>
            </w:pPr>
            <w:r>
              <w:rPr>
                <w:rFonts w:ascii="Calibri" w:hAnsi="Calibri"/>
                <w:b/>
                <w:color w:val="0B2545"/>
                <w:sz w:val="19"/>
              </w:rPr>
              <w:t>Step</w:t>
            </w:r>
          </w:p>
        </w:tc>
        <w:tc>
          <w:tcPr>
            <w:tcW w:type="dxa" w:w="3600"/>
            <w:tcMar>
              <w:top w:w="80" w:type="dxa"/>
              <w:start w:w="120" w:type="dxa"/>
              <w:bottom w:w="80" w:type="dxa"/>
              <w:end w:w="120" w:type="dxa"/>
            </w:tcMar>
            <w:vAlign w:val="center"/>
            <w:shd w:fill="E8EEF5"/>
          </w:tcPr>
          <w:p>
            <w:pPr>
              <w:spacing w:before="0" w:after="0" w:line="264" w:lineRule="auto"/>
              <w:jc w:val="left"/>
            </w:pPr>
            <w:r>
              <w:rPr>
                <w:rFonts w:ascii="Calibri" w:hAnsi="Calibri"/>
                <w:b/>
                <w:color w:val="0B2545"/>
                <w:sz w:val="19"/>
              </w:rPr>
              <w:t>Action</w:t>
            </w:r>
          </w:p>
        </w:tc>
        <w:tc>
          <w:tcPr>
            <w:tcW w:type="dxa" w:w="1200"/>
            <w:tcMar>
              <w:top w:w="80" w:type="dxa"/>
              <w:start w:w="120" w:type="dxa"/>
              <w:bottom w:w="80" w:type="dxa"/>
              <w:end w:w="120" w:type="dxa"/>
            </w:tcMar>
            <w:vAlign w:val="center"/>
            <w:shd w:fill="E8EEF5"/>
          </w:tcPr>
          <w:p>
            <w:pPr>
              <w:spacing w:before="0" w:after="0" w:line="264" w:lineRule="auto"/>
              <w:jc w:val="left"/>
            </w:pPr>
            <w:r>
              <w:rPr>
                <w:rFonts w:ascii="Calibri" w:hAnsi="Calibri"/>
                <w:b/>
                <w:color w:val="0B2545"/>
                <w:sz w:val="19"/>
              </w:rPr>
              <w:t>Owner</w:t>
            </w:r>
          </w:p>
        </w:tc>
        <w:tc>
          <w:tcPr>
            <w:tcW w:type="dxa" w:w="3860"/>
            <w:tcMar>
              <w:top w:w="80" w:type="dxa"/>
              <w:start w:w="120" w:type="dxa"/>
              <w:bottom w:w="80" w:type="dxa"/>
              <w:end w:w="120" w:type="dxa"/>
            </w:tcMar>
            <w:vAlign w:val="center"/>
            <w:shd w:fill="E8EEF5"/>
          </w:tcPr>
          <w:p>
            <w:pPr>
              <w:spacing w:before="0" w:after="0" w:line="264" w:lineRule="auto"/>
              <w:jc w:val="left"/>
            </w:pPr>
            <w:r>
              <w:rPr>
                <w:rFonts w:ascii="Calibri" w:hAnsi="Calibri"/>
                <w:b/>
                <w:color w:val="0B2545"/>
                <w:sz w:val="19"/>
              </w:rPr>
              <w:t>Done when</w:t>
            </w:r>
          </w:p>
        </w:tc>
      </w:tr>
      <w:tr>
        <w:tc>
          <w:tcPr>
            <w:tcW w:type="dxa" w:w="700"/>
            <w:tcMar>
              <w:top w:w="80" w:type="dxa"/>
              <w:start w:w="120" w:type="dxa"/>
              <w:bottom w:w="80" w:type="dxa"/>
              <w:end w:w="120" w:type="dxa"/>
            </w:tcMar>
            <w:vAlign w:val="center"/>
          </w:tcPr>
          <w:p>
            <w:pPr>
              <w:spacing w:before="0" w:after="0" w:line="264" w:lineRule="auto"/>
              <w:jc w:val="left"/>
            </w:pPr>
            <w:r>
              <w:rPr>
                <w:rFonts w:ascii="Calibri" w:hAnsi="Calibri"/>
                <w:b w:val="0"/>
                <w:sz w:val="18"/>
              </w:rPr>
              <w:t>1</w:t>
            </w:r>
          </w:p>
        </w:tc>
        <w:tc>
          <w:tcPr>
            <w:tcW w:type="dxa" w:w="3600"/>
            <w:tcMar>
              <w:top w:w="80" w:type="dxa"/>
              <w:start w:w="120" w:type="dxa"/>
              <w:bottom w:w="80" w:type="dxa"/>
              <w:end w:w="120" w:type="dxa"/>
            </w:tcMar>
            <w:vAlign w:val="center"/>
          </w:tcPr>
          <w:p>
            <w:pPr>
              <w:spacing w:before="0" w:after="0" w:line="264" w:lineRule="auto"/>
              <w:jc w:val="left"/>
            </w:pPr>
            <w:r>
              <w:rPr>
                <w:rFonts w:ascii="Calibri" w:hAnsi="Calibri"/>
                <w:b w:val="0"/>
                <w:sz w:val="18"/>
              </w:rPr>
              <w:t>Choose a stable DNS hostname and approved private HTTPS port; obtain the matching certificate and private-profile firewall approval.</w:t>
            </w:r>
          </w:p>
        </w:tc>
        <w:tc>
          <w:tcPr>
            <w:tcW w:type="dxa" w:w="1200"/>
            <w:tcMar>
              <w:top w:w="80" w:type="dxa"/>
              <w:start w:w="120" w:type="dxa"/>
              <w:bottom w:w="80" w:type="dxa"/>
              <w:end w:w="120" w:type="dxa"/>
            </w:tcMar>
            <w:vAlign w:val="center"/>
          </w:tcPr>
          <w:p>
            <w:pPr>
              <w:spacing w:before="0" w:after="0" w:line="264" w:lineRule="auto"/>
              <w:jc w:val="left"/>
            </w:pPr>
            <w:r>
              <w:rPr>
                <w:rFonts w:ascii="Calibri" w:hAnsi="Calibri"/>
                <w:b w:val="0"/>
                <w:sz w:val="18"/>
              </w:rPr>
              <w:t>IT / security</w:t>
            </w:r>
          </w:p>
        </w:tc>
        <w:tc>
          <w:tcPr>
            <w:tcW w:type="dxa" w:w="3860"/>
            <w:tcMar>
              <w:top w:w="80" w:type="dxa"/>
              <w:start w:w="120" w:type="dxa"/>
              <w:bottom w:w="80" w:type="dxa"/>
              <w:end w:w="120" w:type="dxa"/>
            </w:tcMar>
            <w:vAlign w:val="center"/>
          </w:tcPr>
          <w:p>
            <w:pPr>
              <w:spacing w:before="0" w:after="0" w:line="264" w:lineRule="auto"/>
              <w:jc w:val="left"/>
            </w:pPr>
            <w:r>
              <w:rPr>
                <w:rFonts w:ascii="Calibri" w:hAnsi="Calibri"/>
                <w:b w:val="0"/>
                <w:sz w:val="18"/>
              </w:rPr>
              <w:t>Every lab computer resolves the name and the coordinator is reachable only on the approved private profile.</w:t>
            </w:r>
          </w:p>
        </w:tc>
      </w:tr>
      <w:tr>
        <w:tc>
          <w:tcPr>
            <w:tcW w:type="dxa" w:w="700"/>
            <w:tcMar>
              <w:top w:w="80" w:type="dxa"/>
              <w:start w:w="120" w:type="dxa"/>
              <w:bottom w:w="80" w:type="dxa"/>
              <w:end w:w="120" w:type="dxa"/>
            </w:tcMar>
            <w:vAlign w:val="center"/>
          </w:tcPr>
          <w:p>
            <w:pPr>
              <w:spacing w:before="0" w:after="0" w:line="264" w:lineRule="auto"/>
              <w:jc w:val="left"/>
            </w:pPr>
            <w:r>
              <w:rPr>
                <w:rFonts w:ascii="Calibri" w:hAnsi="Calibri"/>
                <w:b w:val="0"/>
                <w:sz w:val="18"/>
              </w:rPr>
              <w:t>2</w:t>
            </w:r>
          </w:p>
        </w:tc>
        <w:tc>
          <w:tcPr>
            <w:tcW w:type="dxa" w:w="3600"/>
            <w:tcMar>
              <w:top w:w="80" w:type="dxa"/>
              <w:start w:w="120" w:type="dxa"/>
              <w:bottom w:w="80" w:type="dxa"/>
              <w:end w:w="120" w:type="dxa"/>
            </w:tcMar>
            <w:vAlign w:val="center"/>
          </w:tcPr>
          <w:p>
            <w:pPr>
              <w:spacing w:before="0" w:after="0" w:line="264" w:lineRule="auto"/>
              <w:jc w:val="left"/>
            </w:pPr>
            <w:r>
              <w:rPr>
                <w:rFonts w:ascii="Calibri" w:hAnsi="Calibri"/>
                <w:b w:val="0"/>
                <w:sz w:val="18"/>
              </w:rPr>
              <w:t>Install the signed KSAT Coordinator package, initialize it, and back up the complete ProgramData tree including database, keys, releases, certificates, and configuration.</w:t>
            </w:r>
          </w:p>
        </w:tc>
        <w:tc>
          <w:tcPr>
            <w:tcW w:type="dxa" w:w="1200"/>
            <w:tcMar>
              <w:top w:w="80" w:type="dxa"/>
              <w:start w:w="120" w:type="dxa"/>
              <w:bottom w:w="80" w:type="dxa"/>
              <w:end w:w="120" w:type="dxa"/>
            </w:tcMar>
            <w:vAlign w:val="center"/>
          </w:tcPr>
          <w:p>
            <w:pPr>
              <w:spacing w:before="0" w:after="0" w:line="264" w:lineRule="auto"/>
              <w:jc w:val="left"/>
            </w:pPr>
            <w:r>
              <w:rPr>
                <w:rFonts w:ascii="Calibri" w:hAnsi="Calibri"/>
                <w:b w:val="0"/>
                <w:sz w:val="18"/>
              </w:rPr>
              <w:t>Faculty IT</w:t>
            </w:r>
          </w:p>
        </w:tc>
        <w:tc>
          <w:tcPr>
            <w:tcW w:type="dxa" w:w="3860"/>
            <w:tcMar>
              <w:top w:w="80" w:type="dxa"/>
              <w:start w:w="120" w:type="dxa"/>
              <w:bottom w:w="80" w:type="dxa"/>
              <w:end w:w="120" w:type="dxa"/>
            </w:tcMar>
            <w:vAlign w:val="center"/>
          </w:tcPr>
          <w:p>
            <w:pPr>
              <w:spacing w:before="0" w:after="0" w:line="264" w:lineRule="auto"/>
              <w:jc w:val="left"/>
            </w:pPr>
            <w:r>
              <w:rPr>
                <w:rFonts w:ascii="Calibri" w:hAnsi="Calibri"/>
                <w:b w:val="0"/>
                <w:sz w:val="18"/>
              </w:rPr>
              <w:t>A restore-ready backup exists and the public CA/metadata export is verified.</w:t>
            </w:r>
          </w:p>
        </w:tc>
      </w:tr>
      <w:tr>
        <w:tc>
          <w:tcPr>
            <w:tcW w:type="dxa" w:w="700"/>
            <w:tcMar>
              <w:top w:w="80" w:type="dxa"/>
              <w:start w:w="120" w:type="dxa"/>
              <w:bottom w:w="80" w:type="dxa"/>
              <w:end w:w="120" w:type="dxa"/>
            </w:tcMar>
            <w:vAlign w:val="center"/>
          </w:tcPr>
          <w:p>
            <w:pPr>
              <w:spacing w:before="0" w:after="0" w:line="264" w:lineRule="auto"/>
              <w:jc w:val="left"/>
            </w:pPr>
            <w:r>
              <w:rPr>
                <w:rFonts w:ascii="Calibri" w:hAnsi="Calibri"/>
                <w:b w:val="0"/>
                <w:sz w:val="18"/>
              </w:rPr>
              <w:t>3</w:t>
            </w:r>
          </w:p>
        </w:tc>
        <w:tc>
          <w:tcPr>
            <w:tcW w:type="dxa" w:w="3600"/>
            <w:tcMar>
              <w:top w:w="80" w:type="dxa"/>
              <w:start w:w="120" w:type="dxa"/>
              <w:bottom w:w="80" w:type="dxa"/>
              <w:end w:w="120" w:type="dxa"/>
            </w:tcMar>
            <w:vAlign w:val="center"/>
          </w:tcPr>
          <w:p>
            <w:pPr>
              <w:spacing w:before="0" w:after="0" w:line="264" w:lineRule="auto"/>
              <w:jc w:val="left"/>
            </w:pPr>
            <w:r>
              <w:rPr>
                <w:rFonts w:ascii="Calibri" w:hAnsi="Calibri"/>
                <w:b w:val="0"/>
                <w:sz w:val="18"/>
              </w:rPr>
              <w:t>Install the signed KSAT Client package on each lab computer, initially save the coordinator URL, and distribute only the public CA/metadata files.</w:t>
            </w:r>
          </w:p>
        </w:tc>
        <w:tc>
          <w:tcPr>
            <w:tcW w:type="dxa" w:w="1200"/>
            <w:tcMar>
              <w:top w:w="80" w:type="dxa"/>
              <w:start w:w="120" w:type="dxa"/>
              <w:bottom w:w="80" w:type="dxa"/>
              <w:end w:w="120" w:type="dxa"/>
            </w:tcMar>
            <w:vAlign w:val="center"/>
          </w:tcPr>
          <w:p>
            <w:pPr>
              <w:spacing w:before="0" w:after="0" w:line="264" w:lineRule="auto"/>
              <w:jc w:val="left"/>
            </w:pPr>
            <w:r>
              <w:rPr>
                <w:rFonts w:ascii="Calibri" w:hAnsi="Calibri"/>
                <w:b w:val="0"/>
                <w:sz w:val="18"/>
              </w:rPr>
              <w:t>Lab IT</w:t>
            </w:r>
          </w:p>
        </w:tc>
        <w:tc>
          <w:tcPr>
            <w:tcW w:type="dxa" w:w="3860"/>
            <w:tcMar>
              <w:top w:w="80" w:type="dxa"/>
              <w:start w:w="120" w:type="dxa"/>
              <w:bottom w:w="80" w:type="dxa"/>
              <w:end w:w="120" w:type="dxa"/>
            </w:tcMar>
            <w:vAlign w:val="center"/>
          </w:tcPr>
          <w:p>
            <w:pPr>
              <w:spacing w:before="0" w:after="0" w:line="264" w:lineRule="auto"/>
              <w:jc w:val="left"/>
            </w:pPr>
            <w:r>
              <w:rPr>
                <w:rFonts w:ascii="Calibri" w:hAnsi="Calibri"/>
                <w:b w:val="0"/>
                <w:sz w:val="18"/>
              </w:rPr>
              <w:t>Each client opens only 127.0.0.1:8010 and ordinary lab users cannot write protected state.</w:t>
            </w:r>
          </w:p>
        </w:tc>
      </w:tr>
      <w:tr>
        <w:tc>
          <w:tcPr>
            <w:tcW w:type="dxa" w:w="700"/>
            <w:tcMar>
              <w:top w:w="80" w:type="dxa"/>
              <w:start w:w="120" w:type="dxa"/>
              <w:bottom w:w="80" w:type="dxa"/>
              <w:end w:w="120" w:type="dxa"/>
            </w:tcMar>
            <w:vAlign w:val="center"/>
          </w:tcPr>
          <w:p>
            <w:pPr>
              <w:spacing w:before="0" w:after="0" w:line="264" w:lineRule="auto"/>
              <w:jc w:val="left"/>
            </w:pPr>
            <w:r>
              <w:rPr>
                <w:rFonts w:ascii="Calibri" w:hAnsi="Calibri"/>
                <w:b w:val="0"/>
                <w:sz w:val="18"/>
              </w:rPr>
              <w:t>4</w:t>
            </w:r>
          </w:p>
        </w:tc>
        <w:tc>
          <w:tcPr>
            <w:tcW w:type="dxa" w:w="3600"/>
            <w:tcMar>
              <w:top w:w="80" w:type="dxa"/>
              <w:start w:w="120" w:type="dxa"/>
              <w:bottom w:w="80" w:type="dxa"/>
              <w:end w:w="120" w:type="dxa"/>
            </w:tcMar>
            <w:vAlign w:val="center"/>
          </w:tcPr>
          <w:p>
            <w:pPr>
              <w:spacing w:before="0" w:after="0" w:line="264" w:lineRule="auto"/>
              <w:jc w:val="left"/>
            </w:pPr>
            <w:r>
              <w:rPr>
                <w:rFonts w:ascii="Calibri" w:hAnsi="Calibri"/>
                <w:b w:val="0"/>
                <w:sz w:val="18"/>
              </w:rPr>
              <w:t>Rotate the one-time enrollment code, enroll the named lab computers, confirm active status, then rotate the code again.</w:t>
            </w:r>
          </w:p>
        </w:tc>
        <w:tc>
          <w:tcPr>
            <w:tcW w:type="dxa" w:w="1200"/>
            <w:tcMar>
              <w:top w:w="80" w:type="dxa"/>
              <w:start w:w="120" w:type="dxa"/>
              <w:bottom w:w="80" w:type="dxa"/>
              <w:end w:w="120" w:type="dxa"/>
            </w:tcMar>
            <w:vAlign w:val="center"/>
          </w:tcPr>
          <w:p>
            <w:pPr>
              <w:spacing w:before="0" w:after="0" w:line="264" w:lineRule="auto"/>
              <w:jc w:val="left"/>
            </w:pPr>
            <w:r>
              <w:rPr>
                <w:rFonts w:ascii="Calibri" w:hAnsi="Calibri"/>
                <w:b w:val="0"/>
                <w:sz w:val="18"/>
              </w:rPr>
              <w:t>Faculty</w:t>
            </w:r>
          </w:p>
        </w:tc>
        <w:tc>
          <w:tcPr>
            <w:tcW w:type="dxa" w:w="3860"/>
            <w:tcMar>
              <w:top w:w="80" w:type="dxa"/>
              <w:start w:w="120" w:type="dxa"/>
              <w:bottom w:w="80" w:type="dxa"/>
              <w:end w:w="120" w:type="dxa"/>
            </w:tcMar>
            <w:vAlign w:val="center"/>
          </w:tcPr>
          <w:p>
            <w:pPr>
              <w:spacing w:before="0" w:after="0" w:line="264" w:lineRule="auto"/>
              <w:jc w:val="left"/>
            </w:pPr>
            <w:r>
              <w:rPr>
                <w:rFonts w:ascii="Calibri" w:hAnsi="Calibri"/>
                <w:b w:val="0"/>
                <w:sz w:val="18"/>
              </w:rPr>
              <w:t>The Devices page lists the intended machines and the enrollment code is no longer valid.</w:t>
            </w:r>
          </w:p>
        </w:tc>
      </w:tr>
      <w:tr>
        <w:tc>
          <w:tcPr>
            <w:tcW w:type="dxa" w:w="700"/>
            <w:tcMar>
              <w:top w:w="80" w:type="dxa"/>
              <w:start w:w="120" w:type="dxa"/>
              <w:bottom w:w="80" w:type="dxa"/>
              <w:end w:w="120" w:type="dxa"/>
            </w:tcMar>
            <w:vAlign w:val="center"/>
          </w:tcPr>
          <w:p>
            <w:pPr>
              <w:spacing w:before="0" w:after="0" w:line="264" w:lineRule="auto"/>
              <w:jc w:val="left"/>
            </w:pPr>
            <w:r>
              <w:rPr>
                <w:rFonts w:ascii="Calibri" w:hAnsi="Calibri"/>
                <w:b w:val="0"/>
                <w:sz w:val="18"/>
              </w:rPr>
              <w:t>5</w:t>
            </w:r>
          </w:p>
        </w:tc>
        <w:tc>
          <w:tcPr>
            <w:tcW w:type="dxa" w:w="3600"/>
            <w:tcMar>
              <w:top w:w="80" w:type="dxa"/>
              <w:start w:w="120" w:type="dxa"/>
              <w:bottom w:w="80" w:type="dxa"/>
              <w:end w:w="120" w:type="dxa"/>
            </w:tcMar>
            <w:vAlign w:val="center"/>
          </w:tcPr>
          <w:p>
            <w:pPr>
              <w:spacing w:before="0" w:after="0" w:line="264" w:lineRule="auto"/>
              <w:jc w:val="left"/>
            </w:pPr>
            <w:r>
              <w:rPr>
                <w:rFonts w:ascii="Calibri" w:hAnsi="Calibri"/>
                <w:b w:val="0"/>
                <w:sz w:val="18"/>
              </w:rPr>
              <w:t>Import/validate the question bank, create the assessment, prefetch the encrypted pack, launch once, and monitor queue/started/submitted counts.</w:t>
            </w:r>
          </w:p>
        </w:tc>
        <w:tc>
          <w:tcPr>
            <w:tcW w:type="dxa" w:w="1200"/>
            <w:tcMar>
              <w:top w:w="80" w:type="dxa"/>
              <w:start w:w="120" w:type="dxa"/>
              <w:bottom w:w="80" w:type="dxa"/>
              <w:end w:w="120" w:type="dxa"/>
            </w:tcMar>
            <w:vAlign w:val="center"/>
          </w:tcPr>
          <w:p>
            <w:pPr>
              <w:spacing w:before="0" w:after="0" w:line="264" w:lineRule="auto"/>
              <w:jc w:val="left"/>
            </w:pPr>
            <w:r>
              <w:rPr>
                <w:rFonts w:ascii="Calibri" w:hAnsi="Calibri"/>
                <w:b w:val="0"/>
                <w:sz w:val="18"/>
              </w:rPr>
              <w:t>Faculty</w:t>
            </w:r>
          </w:p>
        </w:tc>
        <w:tc>
          <w:tcPr>
            <w:tcW w:type="dxa" w:w="3860"/>
            <w:tcMar>
              <w:top w:w="80" w:type="dxa"/>
              <w:start w:w="120" w:type="dxa"/>
              <w:bottom w:w="80" w:type="dxa"/>
              <w:end w:w="120" w:type="dxa"/>
            </w:tcMar>
            <w:vAlign w:val="center"/>
          </w:tcPr>
          <w:p>
            <w:pPr>
              <w:spacing w:before="0" w:after="0" w:line="264" w:lineRule="auto"/>
              <w:jc w:val="left"/>
            </w:pPr>
            <w:r>
              <w:rPr>
                <w:rFonts w:ascii="Calibri" w:hAnsi="Calibri"/>
                <w:b w:val="0"/>
                <w:sz w:val="18"/>
              </w:rPr>
              <w:t>A supervised pilot completes with local answering, same-computer resume, timer behavior, and authoritative score receipt.</w:t>
            </w:r>
          </w:p>
        </w:tc>
      </w:tr>
      <w:tr>
        <w:tc>
          <w:tcPr>
            <w:tcW w:type="dxa" w:w="700"/>
            <w:tcMar>
              <w:top w:w="80" w:type="dxa"/>
              <w:start w:w="120" w:type="dxa"/>
              <w:bottom w:w="80" w:type="dxa"/>
              <w:end w:w="120" w:type="dxa"/>
            </w:tcMar>
            <w:vAlign w:val="center"/>
          </w:tcPr>
          <w:p>
            <w:pPr>
              <w:spacing w:before="0" w:after="0" w:line="264" w:lineRule="auto"/>
              <w:jc w:val="left"/>
            </w:pPr>
            <w:r>
              <w:rPr>
                <w:rFonts w:ascii="Calibri" w:hAnsi="Calibri"/>
                <w:b w:val="0"/>
                <w:sz w:val="18"/>
              </w:rPr>
              <w:t>6</w:t>
            </w:r>
          </w:p>
        </w:tc>
        <w:tc>
          <w:tcPr>
            <w:tcW w:type="dxa" w:w="3600"/>
            <w:tcMar>
              <w:top w:w="80" w:type="dxa"/>
              <w:start w:w="120" w:type="dxa"/>
              <w:bottom w:w="80" w:type="dxa"/>
              <w:end w:w="120" w:type="dxa"/>
            </w:tcMar>
            <w:vAlign w:val="center"/>
          </w:tcPr>
          <w:p>
            <w:pPr>
              <w:spacing w:before="0" w:after="0" w:line="264" w:lineRule="auto"/>
              <w:jc w:val="left"/>
            </w:pPr>
            <w:r>
              <w:rPr>
                <w:rFonts w:ascii="Calibri" w:hAnsi="Calibri"/>
                <w:b w:val="0"/>
                <w:sz w:val="18"/>
              </w:rPr>
              <w:t>Exercise backup restore and coordinator outage recovery before the first high-stakes assessment.</w:t>
            </w:r>
          </w:p>
        </w:tc>
        <w:tc>
          <w:tcPr>
            <w:tcW w:type="dxa" w:w="1200"/>
            <w:tcMar>
              <w:top w:w="80" w:type="dxa"/>
              <w:start w:w="120" w:type="dxa"/>
              <w:bottom w:w="80" w:type="dxa"/>
              <w:end w:w="120" w:type="dxa"/>
            </w:tcMar>
            <w:vAlign w:val="center"/>
          </w:tcPr>
          <w:p>
            <w:pPr>
              <w:spacing w:before="0" w:after="0" w:line="264" w:lineRule="auto"/>
              <w:jc w:val="left"/>
            </w:pPr>
            <w:r>
              <w:rPr>
                <w:rFonts w:ascii="Calibri" w:hAnsi="Calibri"/>
                <w:b w:val="0"/>
                <w:sz w:val="18"/>
              </w:rPr>
              <w:t>Faculty IT</w:t>
            </w:r>
          </w:p>
        </w:tc>
        <w:tc>
          <w:tcPr>
            <w:tcW w:type="dxa" w:w="3860"/>
            <w:tcMar>
              <w:top w:w="80" w:type="dxa"/>
              <w:start w:w="120" w:type="dxa"/>
              <w:bottom w:w="80" w:type="dxa"/>
              <w:end w:w="120" w:type="dxa"/>
            </w:tcMar>
            <w:vAlign w:val="center"/>
          </w:tcPr>
          <w:p>
            <w:pPr>
              <w:spacing w:before="0" w:after="0" w:line="264" w:lineRule="auto"/>
              <w:jc w:val="left"/>
            </w:pPr>
            <w:r>
              <w:rPr>
                <w:rFonts w:ascii="Calibri" w:hAnsi="Calibri"/>
                <w:b w:val="0"/>
                <w:sz w:val="18"/>
              </w:rPr>
              <w:t>A disposable restore and one stop/restart rehearsal complete without data loss or manual SQLite edits.</w:t>
            </w:r>
          </w:p>
        </w:tc>
      </w:tr>
    </w:tbl>
    <w:p>
      <w:pPr>
        <w:spacing w:after="0"/>
      </w:pPr>
    </w:p>
    <w:p>
      <w:pPr>
        <w:pStyle w:val="Heading1"/>
      </w:pPr>
      <w:r>
        <w:rPr>
          <w:rFonts w:ascii="Calibri" w:hAnsi="Calibri"/>
          <w:b/>
          <w:color w:val="2E74B5"/>
          <w:sz w:val="32"/>
        </w:rPr>
        <w:t>Optional follow-up (not required to start a controlled pilot)</w:t>
      </w:r>
    </w:p>
    <w:tbl>
      <w:tblPr>
        <w:tblStyle w:val="TableGrid"/>
        <w:tblW w:type="dxa" w:w="9360"/>
        <w:tblLayout w:type="fixed"/>
        <w:tblLook w:firstColumn="1" w:firstRow="1" w:lastColumn="0" w:lastRow="0" w:noHBand="0" w:noVBand="1" w:val="04A0"/>
        <w:jc w:val="left"/>
        <w:tblInd w:w="120" w:type="dxa"/>
      </w:tblPr>
      <w:tblGrid>
        <w:gridCol w:w="1300"/>
        <w:gridCol w:w="3900"/>
        <w:gridCol w:w="4160"/>
      </w:tblGrid>
      <w:tr>
        <w:tc>
          <w:tcPr>
            <w:tcW w:type="dxa" w:w="1300"/>
            <w:tcMar>
              <w:top w:w="80" w:type="dxa"/>
              <w:start w:w="120" w:type="dxa"/>
              <w:bottom w:w="80" w:type="dxa"/>
              <w:end w:w="120" w:type="dxa"/>
            </w:tcMar>
            <w:vAlign w:val="center"/>
            <w:shd w:fill="E8EEF5"/>
          </w:tcPr>
          <w:p>
            <w:pPr>
              <w:spacing w:before="0" w:after="0" w:line="264" w:lineRule="auto"/>
              <w:jc w:val="left"/>
            </w:pPr>
            <w:r>
              <w:rPr>
                <w:rFonts w:ascii="Calibri" w:hAnsi="Calibri"/>
                <w:b/>
                <w:color w:val="0B2545"/>
                <w:sz w:val="19"/>
              </w:rPr>
              <w:t>Status</w:t>
            </w:r>
          </w:p>
        </w:tc>
        <w:tc>
          <w:tcPr>
            <w:tcW w:type="dxa" w:w="3900"/>
            <w:tcMar>
              <w:top w:w="80" w:type="dxa"/>
              <w:start w:w="120" w:type="dxa"/>
              <w:bottom w:w="80" w:type="dxa"/>
              <w:end w:w="120" w:type="dxa"/>
            </w:tcMar>
            <w:vAlign w:val="center"/>
            <w:shd w:fill="E8EEF5"/>
          </w:tcPr>
          <w:p>
            <w:pPr>
              <w:spacing w:before="0" w:after="0" w:line="264" w:lineRule="auto"/>
              <w:jc w:val="left"/>
            </w:pPr>
            <w:r>
              <w:rPr>
                <w:rFonts w:ascii="Calibri" w:hAnsi="Calibri"/>
                <w:b/>
                <w:color w:val="0B2545"/>
                <w:sz w:val="19"/>
              </w:rPr>
              <w:t>Item</w:t>
            </w:r>
          </w:p>
        </w:tc>
        <w:tc>
          <w:tcPr>
            <w:tcW w:type="dxa" w:w="4160"/>
            <w:tcMar>
              <w:top w:w="80" w:type="dxa"/>
              <w:start w:w="120" w:type="dxa"/>
              <w:bottom w:w="80" w:type="dxa"/>
              <w:end w:w="120" w:type="dxa"/>
            </w:tcMar>
            <w:vAlign w:val="center"/>
            <w:shd w:fill="E8EEF5"/>
          </w:tcPr>
          <w:p>
            <w:pPr>
              <w:spacing w:before="0" w:after="0" w:line="264" w:lineRule="auto"/>
              <w:jc w:val="left"/>
            </w:pPr>
            <w:r>
              <w:rPr>
                <w:rFonts w:ascii="Calibri" w:hAnsi="Calibri"/>
                <w:b/>
                <w:color w:val="0B2545"/>
                <w:sz w:val="19"/>
              </w:rPr>
              <w:t>Decision</w:t>
            </w:r>
          </w:p>
        </w:tc>
      </w:tr>
      <w:tr>
        <w:tc>
          <w:tcPr>
            <w:tcW w:type="dxa" w:w="1300"/>
            <w:shd w:fill="FFF8E8"/>
            <w:tcMar>
              <w:top w:w="80" w:type="dxa"/>
              <w:start w:w="120" w:type="dxa"/>
              <w:bottom w:w="80" w:type="dxa"/>
              <w:end w:w="120" w:type="dxa"/>
            </w:tcMar>
            <w:vAlign w:val="center"/>
          </w:tcPr>
          <w:p>
            <w:pPr>
              <w:spacing w:before="0" w:after="0" w:line="264" w:lineRule="auto"/>
              <w:jc w:val="left"/>
            </w:pPr>
            <w:r>
              <w:rPr>
                <w:rFonts w:ascii="Calibri" w:hAnsi="Calibri"/>
                <w:b w:val="0"/>
                <w:sz w:val="18"/>
              </w:rPr>
              <w:t>OPTIONAL</w:t>
            </w:r>
          </w:p>
        </w:tc>
        <w:tc>
          <w:tcPr>
            <w:tcW w:type="dxa" w:w="3900"/>
            <w:tcMar>
              <w:top w:w="80" w:type="dxa"/>
              <w:start w:w="120" w:type="dxa"/>
              <w:bottom w:w="80" w:type="dxa"/>
              <w:end w:w="120" w:type="dxa"/>
            </w:tcMar>
            <w:vAlign w:val="center"/>
          </w:tcPr>
          <w:p>
            <w:pPr>
              <w:spacing w:before="0" w:after="0" w:line="264" w:lineRule="auto"/>
              <w:jc w:val="left"/>
            </w:pPr>
            <w:r>
              <w:rPr>
                <w:rFonts w:ascii="Calibri" w:hAnsi="Calibri"/>
                <w:b w:val="0"/>
                <w:sz w:val="18"/>
              </w:rPr>
              <w:t>Optimize the outage-gate local-answer p99 from 109.184 ms to below 100 ms.</w:t>
            </w:r>
          </w:p>
        </w:tc>
        <w:tc>
          <w:tcPr>
            <w:tcW w:type="dxa" w:w="4160"/>
            <w:tcMar>
              <w:top w:w="80" w:type="dxa"/>
              <w:start w:w="120" w:type="dxa"/>
              <w:bottom w:w="80" w:type="dxa"/>
              <w:end w:w="120" w:type="dxa"/>
            </w:tcMar>
            <w:vAlign w:val="center"/>
          </w:tcPr>
          <w:p>
            <w:pPr>
              <w:spacing w:before="0" w:after="0" w:line="264" w:lineRule="auto"/>
              <w:jc w:val="left"/>
            </w:pPr>
            <w:r>
              <w:rPr>
                <w:rFonts w:ascii="Calibri" w:hAnsi="Calibri"/>
                <w:b w:val="0"/>
                <w:sz w:val="18"/>
              </w:rPr>
              <w:t>The miss is narrow, isolated to outage mode, and was explicitly accepted. Defer unless the institution requires the strict target.</w:t>
            </w:r>
          </w:p>
        </w:tc>
      </w:tr>
      <w:tr>
        <w:tc>
          <w:tcPr>
            <w:tcW w:type="dxa" w:w="1300"/>
            <w:shd w:fill="FFF8E8"/>
            <w:tcMar>
              <w:top w:w="80" w:type="dxa"/>
              <w:start w:w="120" w:type="dxa"/>
              <w:bottom w:w="80" w:type="dxa"/>
              <w:end w:w="120" w:type="dxa"/>
            </w:tcMar>
            <w:vAlign w:val="center"/>
          </w:tcPr>
          <w:p>
            <w:pPr>
              <w:spacing w:before="0" w:after="0" w:line="264" w:lineRule="auto"/>
              <w:jc w:val="left"/>
            </w:pPr>
            <w:r>
              <w:rPr>
                <w:rFonts w:ascii="Calibri" w:hAnsi="Calibri"/>
                <w:b w:val="0"/>
                <w:sz w:val="18"/>
              </w:rPr>
              <w:t>OPTIONAL</w:t>
            </w:r>
          </w:p>
        </w:tc>
        <w:tc>
          <w:tcPr>
            <w:tcW w:type="dxa" w:w="3900"/>
            <w:tcMar>
              <w:top w:w="80" w:type="dxa"/>
              <w:start w:w="120" w:type="dxa"/>
              <w:bottom w:w="80" w:type="dxa"/>
              <w:end w:w="120" w:type="dxa"/>
            </w:tcMar>
            <w:vAlign w:val="center"/>
          </w:tcPr>
          <w:p>
            <w:pPr>
              <w:spacing w:before="0" w:after="0" w:line="264" w:lineRule="auto"/>
              <w:jc w:val="left"/>
            </w:pPr>
            <w:r>
              <w:rPr>
                <w:rFonts w:ascii="Calibri" w:hAnsi="Calibri"/>
                <w:b w:val="0"/>
                <w:sz w:val="18"/>
              </w:rPr>
              <w:t>Repeat redundant load gates or a full release build after every documentation-only change.</w:t>
            </w:r>
          </w:p>
        </w:tc>
        <w:tc>
          <w:tcPr>
            <w:tcW w:type="dxa" w:w="4160"/>
            <w:tcMar>
              <w:top w:w="80" w:type="dxa"/>
              <w:start w:w="120" w:type="dxa"/>
              <w:bottom w:w="80" w:type="dxa"/>
              <w:end w:w="120" w:type="dxa"/>
            </w:tcMar>
            <w:vAlign w:val="center"/>
          </w:tcPr>
          <w:p>
            <w:pPr>
              <w:spacing w:before="0" w:after="0" w:line="264" w:lineRule="auto"/>
              <w:jc w:val="left"/>
            </w:pPr>
            <w:r>
              <w:rPr>
                <w:rFonts w:ascii="Calibri" w:hAnsi="Calibri"/>
                <w:b w:val="0"/>
                <w:sz w:val="18"/>
              </w:rPr>
              <w:t>Only rerun when release evidence must be tied to a newly rebuilt artifact or a code change affects the measured path.</w:t>
            </w:r>
          </w:p>
        </w:tc>
      </w:tr>
      <w:tr>
        <w:tc>
          <w:tcPr>
            <w:tcW w:type="dxa" w:w="1300"/>
            <w:shd w:fill="FFF8E8"/>
            <w:tcMar>
              <w:top w:w="80" w:type="dxa"/>
              <w:start w:w="120" w:type="dxa"/>
              <w:bottom w:w="80" w:type="dxa"/>
              <w:end w:w="120" w:type="dxa"/>
            </w:tcMar>
            <w:vAlign w:val="center"/>
          </w:tcPr>
          <w:p>
            <w:pPr>
              <w:spacing w:before="0" w:after="0" w:line="264" w:lineRule="auto"/>
              <w:jc w:val="left"/>
            </w:pPr>
            <w:r>
              <w:rPr>
                <w:rFonts w:ascii="Calibri" w:hAnsi="Calibri"/>
                <w:b w:val="0"/>
                <w:sz w:val="18"/>
              </w:rPr>
              <w:t>OPTIONAL</w:t>
            </w:r>
          </w:p>
        </w:tc>
        <w:tc>
          <w:tcPr>
            <w:tcW w:type="dxa" w:w="3900"/>
            <w:tcMar>
              <w:top w:w="80" w:type="dxa"/>
              <w:start w:w="120" w:type="dxa"/>
              <w:bottom w:w="80" w:type="dxa"/>
              <w:end w:w="120" w:type="dxa"/>
            </w:tcMar>
            <w:vAlign w:val="center"/>
          </w:tcPr>
          <w:p>
            <w:pPr>
              <w:spacing w:before="0" w:after="0" w:line="264" w:lineRule="auto"/>
              <w:jc w:val="left"/>
            </w:pPr>
            <w:r>
              <w:rPr>
                <w:rFonts w:ascii="Calibri" w:hAnsi="Calibri"/>
                <w:b w:val="0"/>
                <w:sz w:val="18"/>
              </w:rPr>
              <w:t>Restructure the multi-commit integration history into a clean branch.</w:t>
            </w:r>
          </w:p>
        </w:tc>
        <w:tc>
          <w:tcPr>
            <w:tcW w:type="dxa" w:w="4160"/>
            <w:tcMar>
              <w:top w:w="80" w:type="dxa"/>
              <w:start w:w="120" w:type="dxa"/>
              <w:bottom w:w="80" w:type="dxa"/>
              <w:end w:w="120" w:type="dxa"/>
            </w:tcMar>
            <w:vAlign w:val="center"/>
          </w:tcPr>
          <w:p>
            <w:pPr>
              <w:spacing w:before="0" w:after="0" w:line="264" w:lineRule="auto"/>
              <w:jc w:val="left"/>
            </w:pPr>
            <w:r>
              <w:rPr>
                <w:rFonts w:ascii="Calibri" w:hAnsi="Calibri"/>
                <w:b w:val="0"/>
                <w:sz w:val="18"/>
              </w:rPr>
              <w:t>Explicitly deferred by the reduced-scope instruction; do not rewrite history as part of rollout.</w:t>
            </w:r>
          </w:p>
        </w:tc>
      </w:tr>
      <w:tr>
        <w:tc>
          <w:tcPr>
            <w:tcW w:type="dxa" w:w="1300"/>
            <w:shd w:fill="FFF8E8"/>
            <w:tcMar>
              <w:top w:w="80" w:type="dxa"/>
              <w:start w:w="120" w:type="dxa"/>
              <w:bottom w:w="80" w:type="dxa"/>
              <w:end w:w="120" w:type="dxa"/>
            </w:tcMar>
            <w:vAlign w:val="center"/>
          </w:tcPr>
          <w:p>
            <w:pPr>
              <w:spacing w:before="0" w:after="0" w:line="264" w:lineRule="auto"/>
              <w:jc w:val="left"/>
            </w:pPr>
            <w:r>
              <w:rPr>
                <w:rFonts w:ascii="Calibri" w:hAnsi="Calibri"/>
                <w:b w:val="0"/>
                <w:sz w:val="18"/>
              </w:rPr>
              <w:t>OPTIONAL</w:t>
            </w:r>
          </w:p>
        </w:tc>
        <w:tc>
          <w:tcPr>
            <w:tcW w:type="dxa" w:w="3900"/>
            <w:tcMar>
              <w:top w:w="80" w:type="dxa"/>
              <w:start w:w="120" w:type="dxa"/>
              <w:bottom w:w="80" w:type="dxa"/>
              <w:end w:w="120" w:type="dxa"/>
            </w:tcMar>
            <w:vAlign w:val="center"/>
          </w:tcPr>
          <w:p>
            <w:pPr>
              <w:spacing w:before="0" w:after="0" w:line="264" w:lineRule="auto"/>
              <w:jc w:val="left"/>
            </w:pPr>
            <w:r>
              <w:rPr>
                <w:rFonts w:ascii="Calibri" w:hAnsi="Calibri"/>
                <w:b w:val="0"/>
                <w:sz w:val="18"/>
              </w:rPr>
              <w:t>Expand physical acceptance from the representative pilot to the complete lab fleet.</w:t>
            </w:r>
          </w:p>
        </w:tc>
        <w:tc>
          <w:tcPr>
            <w:tcW w:type="dxa" w:w="4160"/>
            <w:tcMar>
              <w:top w:w="80" w:type="dxa"/>
              <w:start w:w="120" w:type="dxa"/>
              <w:bottom w:w="80" w:type="dxa"/>
              <w:end w:w="120" w:type="dxa"/>
            </w:tcMar>
            <w:vAlign w:val="center"/>
          </w:tcPr>
          <w:p>
            <w:pPr>
              <w:spacing w:before="0" w:after="0" w:line="264" w:lineRule="auto"/>
              <w:jc w:val="left"/>
            </w:pPr>
            <w:r>
              <w:rPr>
                <w:rFonts w:ascii="Calibri" w:hAnsi="Calibri"/>
                <w:b w:val="0"/>
                <w:sz w:val="18"/>
              </w:rPr>
              <w:t>Do this as a normal staged rollout after the pilot and restore rehearsal pass.</w:t>
            </w:r>
          </w:p>
        </w:tc>
      </w:tr>
    </w:tbl>
    <w:p>
      <w:pPr>
        <w:spacing w:after="0"/>
      </w:pPr>
    </w:p>
    <w:p>
      <w:pPr>
        <w:pStyle w:val="Heading1"/>
      </w:pPr>
      <w:r>
        <w:rPr>
          <w:rFonts w:ascii="Calibri" w:hAnsi="Calibri"/>
          <w:b/>
          <w:color w:val="2E74B5"/>
          <w:sz w:val="32"/>
        </w:rPr>
        <w:t>Recommended safe-and-fast order</w:t>
      </w:r>
    </w:p>
    <w:p>
      <w:pPr/>
      <w:r>
        <w:rPr>
          <w:rFonts w:ascii="Calibri" w:hAnsi="Calibri"/>
        </w:rPr>
        <w:t>1. Obtain production signing inputs and run the fail-closed production build.  2. Obtain final independent review sign-off on commit 304f107.  3. Perform the authorized disposable-machine acceptance test.  4. If needed, migrate legacy data from a protected copy.  5. Install and enroll a small pilot, run one supervised assessment, and rehearse restore/outage recovery.  6. Roll out to the remaining lab computers.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40" w:after="40" w:line="276" w:lineRule="auto"/>
            </w:pPr>
            <w:r>
              <w:rPr>
                <w:rFonts w:ascii="Calibri" w:hAnsi="Calibri"/>
                <w:b/>
                <w:color w:val="7A5A00"/>
                <w:sz w:val="21"/>
              </w:rPr>
              <w:t xml:space="preserve">Stop condition  </w:t>
            </w:r>
            <w:r>
              <w:rPr>
                <w:rFonts w:ascii="Calibri" w:hAnsi="Calibri"/>
                <w:sz w:val="21"/>
              </w:rPr>
              <w:t>Do not distribute the current verification binaries, copy private coordinator secrets, bypass TLS validation, or edit client SQLite files manually. If any physical acceptance or migration check fails, preserve the complete data tree and use the documented rollback path.</w:t>
            </w:r>
          </w:p>
        </w:tc>
      </w:tr>
    </w:tbl>
    <w:p>
      <w:pPr>
        <w:spacing w:after="0"/>
      </w:pPr>
    </w:p>
    <w:p>
      <w:pPr>
        <w:pStyle w:val="Heading1"/>
      </w:pPr>
      <w:r>
        <w:rPr>
          <w:rFonts w:ascii="Calibri" w:hAnsi="Calibri"/>
          <w:b/>
          <w:color w:val="2E74B5"/>
          <w:sz w:val="32"/>
        </w:rPr>
        <w:t>Reference files</w:t>
      </w:r>
    </w:p>
    <w:p>
      <w:pPr/>
      <w:r>
        <w:rPr>
          <w:rFonts w:ascii="Calibri" w:hAnsi="Calibri"/>
        </w:rPr>
        <w:t>Operational procedures: docs/distributed-assessment-operations.md. Windows build and signing procedure: WINDOWS_EXE_BUILD.md. Product overview and installation notes: README.md. Load-gate reports: load-report-30.json, load-report-100.json, and load-report-100-outage.json in the distributed worktree.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Remaining-work handoff  |  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KSAT 2.0  |  Distributed lab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Assessment - Remaining Work Before Production Rollout</dc:title>
  <dc:subject>Release and deployment readiness handoff</dc:subject>
  <dc:creator>KSAT project</dc:creator>
  <cp:keywords/>
  <dc:description>Prepared from the distributed-lab-assessment branch.</dc:description>
  <cp:lastModifiedBy/>
  <cp:revision>1</cp:revision>
  <dcterms:created xsi:type="dcterms:W3CDTF">2013-12-23T23:15:00Z</dcterms:created>
  <dcterms:modified xsi:type="dcterms:W3CDTF">2013-12-23T23:15:00Z</dcterms:modified>
  <cp:category/>
</cp:coreProperties>
</file>