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0"/>
        <w:gridCol w:w="2712"/>
      </w:tblGrid>
      <w:tr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AI Co-pilot for CIB Incident Support</w:t>
            </w:r>
          </w:p>
          <w:p>
            <w:r>
              <w:rPr>
                <w:rFonts w:ascii="Arial" w:cs="Arial" w:eastAsia="Arial" w:hAnsi="Arial"/>
                <w:color w:val="A8C4E0"/>
                <w:sz w:val="18"/>
                <w:szCs w:val="18"/>
              </w:rPr>
              <w:t xml:space="preserve">POC Initiative  |  Leadership Briefing  |  Q1 2026</w:t>
            </w:r>
          </w:p>
        </w:tc>
        <w:tc>
          <w:tcPr>
            <w:tcW w:type="dxa" w:w="27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8C4E0"/>
                <w:sz w:val="16"/>
                <w:szCs w:val="16"/>
              </w:rPr>
              <w:t xml:space="preserve">STATUS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DESIGN COMPLETE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8C4E0"/>
                <w:sz w:val="16"/>
                <w:szCs w:val="16"/>
              </w:rPr>
              <w:t xml:space="preserve">Build Phase Starting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5FA3" w:sz="6" w:space="4"/>
        </w:pBdr>
        <w:spacing w:before="160" w:after="60"/>
      </w:pPr>
      <w:r>
        <w:rPr>
          <w:rFonts w:ascii="Arial" w:cs="Arial" w:eastAsia="Arial" w:hAnsi="Arial"/>
          <w:b/>
          <w:bCs/>
          <w:color w:val="2E5FA3"/>
          <w:sz w:val="16"/>
          <w:szCs w:val="16"/>
        </w:rPr>
        <w:t xml:space="preserve">THE PROBLEM WE ARE SOLVING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5312"/>
      </w:tblGrid>
      <w:tr>
        <w:tc>
          <w:tcPr>
            <w:tcW w:type="dxa" w:w="52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5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Today's Manual Process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Customer email triggers a Jira ticket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L1 engineer manually checks Splunk, OCP health, and recent Prod changes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If unresolved, App Dev team is paged — repeating the same checks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Average triage time: 30–45 minutes per P1/P2 incident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High rate of unnecessary App Dev escalations</w:t>
            </w:r>
          </w:p>
        </w:tc>
        <w:tc>
          <w:tcPr>
            <w:tcW w:type="dxa" w:w="5312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EAF1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With the AI Co-pilot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7A8A"/>
                <w:sz w:val="18"/>
                <w:szCs w:val="18"/>
              </w:rPr>
              <w:t xml:space="preserve">Jira ticket auto-triggers the AI agent asynchronously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7A8A"/>
                <w:sz w:val="18"/>
                <w:szCs w:val="18"/>
              </w:rPr>
              <w:t xml:space="preserve">Agent queries Splunk, OCP, and Prod Changes in parallel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7A8A"/>
                <w:sz w:val="18"/>
                <w:szCs w:val="18"/>
              </w:rPr>
              <w:t xml:space="preserve">Structured triage summary posted to Jira within 30 seconds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7A8A"/>
                <w:sz w:val="18"/>
                <w:szCs w:val="18"/>
              </w:rPr>
              <w:t xml:space="preserve">Confidence-scored escalation recommendation reduces unnecessary pages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7A8A"/>
                <w:sz w:val="18"/>
                <w:szCs w:val="18"/>
              </w:rPr>
              <w:t xml:space="preserve">L1 and App Dev both get what they need, instantly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5FA3" w:sz="6" w:space="4"/>
        </w:pBdr>
        <w:spacing w:before="160" w:after="60"/>
      </w:pPr>
      <w:r>
        <w:rPr>
          <w:rFonts w:ascii="Arial" w:cs="Arial" w:eastAsia="Arial" w:hAnsi="Arial"/>
          <w:b/>
          <w:bCs/>
          <w:color w:val="2E5FA3"/>
          <w:sz w:val="16"/>
          <w:szCs w:val="16"/>
        </w:rPr>
        <w:t xml:space="preserve">TARGET OUTCOMES FOR POC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200"/>
        <w:gridCol w:w="1712"/>
      </w:tblGrid>
      <w:tr>
        <w:tc>
          <w:tcPr>
            <w:tcW w:type="dxa" w:w="22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1B2A4A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&lt; 30s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Triage Time Target</w:t>
            </w:r>
          </w:p>
        </w:tc>
        <w:tc>
          <w:tcPr>
            <w:tcW w:type="dxa" w:w="22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2E5FA3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↓ 60%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Unnecessary Escalations</w:t>
            </w:r>
          </w:p>
        </w:tc>
        <w:tc>
          <w:tcPr>
            <w:tcW w:type="dxa" w:w="22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1A7A8A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3 Tools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Splunk · OCP · Prod</w:t>
            </w:r>
          </w:p>
        </w:tc>
        <w:tc>
          <w:tcPr>
            <w:tcW w:type="dxa" w:w="22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2E6B4A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100%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Audit Trail Coverage</w:t>
            </w:r>
          </w:p>
        </w:tc>
        <w:tc>
          <w:tcPr>
            <w:tcW w:type="dxa" w:w="22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5A4A8A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2–4 wks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POC Timeline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5FA3" w:sz="6" w:space="4"/>
        </w:pBdr>
        <w:spacing w:before="160" w:after="60"/>
      </w:pPr>
      <w:r>
        <w:rPr>
          <w:rFonts w:ascii="Arial" w:cs="Arial" w:eastAsia="Arial" w:hAnsi="Arial"/>
          <w:b/>
          <w:bCs/>
          <w:color w:val="2E5FA3"/>
          <w:sz w:val="16"/>
          <w:szCs w:val="16"/>
        </w:rPr>
        <w:t xml:space="preserve">HOW IT WORKS — THE ARCHITECTURE IN PLAIN ENGLISH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12"/>
        <w:gridCol w:w="1500"/>
      </w:tblGrid>
      <w:tr>
        <w:tc>
          <w:tcPr>
            <w:tcW w:type="dxa" w:w="13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01</w:t>
            </w:r>
          </w:p>
        </w:tc>
        <w:tc>
          <w:tcPr>
            <w:tcW w:type="dxa" w:w="7712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B2A4A"/>
                <w:sz w:val="18"/>
                <w:szCs w:val="18"/>
              </w:rPr>
              <w:t xml:space="preserve">Jira webhook fires when a P1 or P2 incident ticket is created</w:t>
            </w:r>
          </w:p>
        </w:tc>
        <w:tc>
          <w:tcPr>
            <w:tcW w:type="dxa" w:w="15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5"/>
                <w:szCs w:val="15"/>
              </w:rPr>
              <w:t xml:space="preserve">Trigger</w:t>
            </w:r>
          </w:p>
        </w:tc>
      </w:tr>
      <w:tr>
        <w:tc>
          <w:tcPr>
            <w:tcW w:type="dxa" w:w="13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02</w:t>
            </w:r>
          </w:p>
        </w:tc>
        <w:tc>
          <w:tcPr>
            <w:tcW w:type="dxa" w:w="7712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B2A4A"/>
                <w:sz w:val="18"/>
                <w:szCs w:val="18"/>
              </w:rPr>
              <w:t xml:space="preserve">Agent receives a sanitised event envelope — no PII leaves the secure gateway</w:t>
            </w:r>
          </w:p>
        </w:tc>
        <w:tc>
          <w:tcPr>
            <w:tcW w:type="dxa" w:w="15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5"/>
                <w:szCs w:val="15"/>
              </w:rPr>
              <w:t xml:space="preserve">Security</w:t>
            </w:r>
          </w:p>
        </w:tc>
      </w:tr>
      <w:tr>
        <w:tc>
          <w:tcPr>
            <w:tcW w:type="dxa" w:w="13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03</w:t>
            </w:r>
          </w:p>
        </w:tc>
        <w:tc>
          <w:tcPr>
            <w:tcW w:type="dxa" w:w="7712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B2A4A"/>
                <w:sz w:val="18"/>
                <w:szCs w:val="18"/>
              </w:rPr>
              <w:t xml:space="preserve">Three tool queries fire simultaneously: Splunk logs, OCP health, last Prod change</w:t>
            </w:r>
          </w:p>
        </w:tc>
        <w:tc>
          <w:tcPr>
            <w:tcW w:type="dxa" w:w="15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5"/>
                <w:szCs w:val="15"/>
              </w:rPr>
              <w:t xml:space="preserve">Intelligence</w:t>
            </w:r>
          </w:p>
        </w:tc>
      </w:tr>
      <w:tr>
        <w:tc>
          <w:tcPr>
            <w:tcW w:type="dxa" w:w="13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04</w:t>
            </w:r>
          </w:p>
        </w:tc>
        <w:tc>
          <w:tcPr>
            <w:tcW w:type="dxa" w:w="7712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B2A4A"/>
                <w:sz w:val="18"/>
                <w:szCs w:val="18"/>
              </w:rPr>
              <w:t xml:space="preserve">Agent compares current state vs 24-hour baseline to detect anomalies</w:t>
            </w:r>
          </w:p>
        </w:tc>
        <w:tc>
          <w:tcPr>
            <w:tcW w:type="dxa" w:w="15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5"/>
                <w:szCs w:val="15"/>
              </w:rPr>
              <w:t xml:space="preserve">Analysis</w:t>
            </w:r>
          </w:p>
        </w:tc>
      </w:tr>
      <w:tr>
        <w:tc>
          <w:tcPr>
            <w:tcW w:type="dxa" w:w="13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05</w:t>
            </w:r>
          </w:p>
        </w:tc>
        <w:tc>
          <w:tcPr>
            <w:tcW w:type="dxa" w:w="7712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B2A4A"/>
                <w:sz w:val="18"/>
                <w:szCs w:val="18"/>
              </w:rPr>
              <w:t xml:space="preserve">LLM synthesises findings into a structured triage summary with confidence score</w:t>
            </w:r>
          </w:p>
        </w:tc>
        <w:tc>
          <w:tcPr>
            <w:tcW w:type="dxa" w:w="15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5"/>
                <w:szCs w:val="15"/>
              </w:rPr>
              <w:t xml:space="preserve">Synthesis</w:t>
            </w:r>
          </w:p>
        </w:tc>
      </w:tr>
      <w:tr>
        <w:tc>
          <w:tcPr>
            <w:tcW w:type="dxa" w:w="13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06</w:t>
            </w:r>
          </w:p>
        </w:tc>
        <w:tc>
          <w:tcPr>
            <w:tcW w:type="dxa" w:w="7712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B2A4A"/>
                <w:sz w:val="18"/>
                <w:szCs w:val="18"/>
              </w:rPr>
              <w:t xml:space="preserve">If confidence is below configurable threshold, escalation is flagged automatically</w:t>
            </w:r>
          </w:p>
        </w:tc>
        <w:tc>
          <w:tcPr>
            <w:tcW w:type="dxa" w:w="15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5"/>
                <w:szCs w:val="15"/>
              </w:rPr>
              <w:t xml:space="preserve">Decision</w:t>
            </w:r>
          </w:p>
        </w:tc>
      </w:tr>
      <w:tr>
        <w:tc>
          <w:tcPr>
            <w:tcW w:type="dxa" w:w="13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07</w:t>
            </w:r>
          </w:p>
        </w:tc>
        <w:tc>
          <w:tcPr>
            <w:tcW w:type="dxa" w:w="7712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B2A4A"/>
                <w:sz w:val="18"/>
                <w:szCs w:val="18"/>
              </w:rPr>
              <w:t xml:space="preserve">Full report posted as a Jira comment; Slack notification fires with priority-based format</w:t>
            </w:r>
          </w:p>
        </w:tc>
        <w:tc>
          <w:tcPr>
            <w:tcW w:type="dxa" w:w="15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5"/>
                <w:szCs w:val="15"/>
              </w:rPr>
              <w:t xml:space="preserve">Output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0"/>
        <w:gridCol w:w="5412"/>
      </w:tblGrid>
      <w:tr>
        <w:tc>
          <w:tcPr>
            <w:tcW w:type="dxa" w:w="5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</w:tcPr>
          <w:p>
            <w:pPr>
              <w:pBdr>
                <w:bottom w:val="single" w:color="2E5FA3" w:sz="6" w:space="4"/>
              </w:pBd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PARALLEL WORKSTREAMS</w:t>
            </w:r>
          </w:p>
          <w:tbl>
            <w:tblPr>
              <w:tblW w:type="dxa" w:w="49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1800"/>
              <w:gridCol w:w="2540"/>
            </w:tblGrid>
            <w:tr>
              <w:tc>
                <w:tcPr>
                  <w:tcW w:type="dxa" w:w="600"/>
                  <w:tcBorders>
                    <w:top w:val="single" w:color="D0D7E3" w:sz="4"/>
                    <w:left w:val="single" w:color="D0D7E3" w:sz="4"/>
                    <w:bottom w:val="single" w:color="D0D7E3" w:sz="4"/>
                    <w:right w:val="single" w:color="D0D7E3" w:sz="4"/>
                  </w:tcBorders>
                  <w:shd w:fill="2E5FA3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#</w:t>
                  </w:r>
                </w:p>
              </w:tc>
              <w:tc>
                <w:tcPr>
                  <w:tcW w:type="dxa" w:w="1800"/>
                  <w:tcBorders>
                    <w:top w:val="single" w:color="D0D7E3" w:sz="4"/>
                    <w:left w:val="single" w:color="D0D7E3" w:sz="4"/>
                    <w:bottom w:val="single" w:color="D0D7E3" w:sz="4"/>
                    <w:right w:val="single" w:color="D0D7E3" w:sz="4"/>
                  </w:tcBorders>
                  <w:shd w:fill="1B2A4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Stream</w:t>
                  </w:r>
                </w:p>
              </w:tc>
              <w:tc>
                <w:tcPr>
                  <w:tcW w:type="dxa" w:w="2540"/>
                  <w:tcBorders>
                    <w:top w:val="single" w:color="D0D7E3" w:sz="4"/>
                    <w:left w:val="single" w:color="D0D7E3" w:sz="4"/>
                    <w:bottom w:val="single" w:color="D0D7E3" w:sz="4"/>
                    <w:right w:val="single" w:color="D0D7E3" w:sz="4"/>
                  </w:tcBorders>
                  <w:shd w:fill="1B2A4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Owner / Dependency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D0D7E3" w:sz="4"/>
                    <w:left w:val="single" w:color="D0D7E3" w:sz="4"/>
                    <w:bottom w:val="single" w:color="D0D7E3" w:sz="4"/>
                    <w:right w:val="single" w:color="D0D7E3" w:sz="4"/>
                  </w:tcBorders>
                  <w:shd w:fill="1A7A8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800"/>
                  <w:tcBorders>
                    <w:top w:val="single" w:color="D0D7E3" w:sz="4"/>
                    <w:left w:val="single" w:color="D0D7E3" w:sz="4"/>
                    <w:bottom w:val="single" w:color="D0D7E3" w:sz="4"/>
                    <w:right w:val="single" w:color="D0D7E3" w:sz="4"/>
                  </w:tcBorders>
                  <w:shd w:fill="F5F7F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B2A4A"/>
                      <w:sz w:val="18"/>
                      <w:szCs w:val="18"/>
                    </w:rPr>
                    <w:t xml:space="preserve">Platform</w:t>
                  </w:r>
                </w:p>
              </w:tc>
              <w:tc>
                <w:tcPr>
                  <w:tcW w:type="dxa" w:w="4500"/>
                  <w:tcBorders>
                    <w:top w:val="single" w:color="D0D7E3" w:sz="4"/>
                    <w:left w:val="single" w:color="D0D7E3" w:sz="4"/>
                    <w:bottom w:val="single" w:color="D0D7E3" w:sz="4"/>
                    <w:right w:val="single" w:color="D0D7E3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4A5568"/>
                      <w:sz w:val="17"/>
                      <w:szCs w:val="17"/>
                    </w:rPr>
                    <w:t xml:space="preserve">Tachyon integration, service accounts, read-only access to Splunk, OCP, Jira</w:t>
                  </w:r>
                </w:p>
              </w:tc>
              <w:tc>
                <w:tcPr>
                  <w:tcW w:type="dxa" w:w="2460"/>
                  <w:tcBorders>
                    <w:top w:val="single" w:color="D0D7E3" w:sz="4"/>
                    <w:left w:val="single" w:color="D0D7E3" w:sz="4"/>
                    <w:bottom w:val="single" w:color="D0D7E3" w:sz="4"/>
                    <w:right w:val="single" w:color="D0D7E3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4A5568"/>
                      <w:sz w:val="17"/>
                      <w:szCs w:val="17"/>
                    </w:rPr>
                    <w:t xml:space="preserve">Platform Team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D0D7E3" w:sz="4"/>
                    <w:left w:val="single" w:color="D0D7E3" w:sz="4"/>
                    <w:bottom w:val="single" w:color="D0D7E3" w:sz="4"/>
                    <w:right w:val="single" w:color="D0D7E3" w:sz="4"/>
                  </w:tcBorders>
                  <w:shd w:fill="2E5FA3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1800"/>
                  <w:tcBorders>
                    <w:top w:val="single" w:color="D0D7E3" w:sz="4"/>
                    <w:left w:val="single" w:color="D0D7E3" w:sz="4"/>
                    <w:bottom w:val="single" w:color="D0D7E3" w:sz="4"/>
                    <w:right w:val="single" w:color="D0D7E3" w:sz="4"/>
                  </w:tcBorders>
                  <w:shd w:fill="F5F7F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B2A4A"/>
                      <w:sz w:val="18"/>
                      <w:szCs w:val="18"/>
                    </w:rPr>
                    <w:t xml:space="preserve">Agent Build</w:t>
                  </w:r>
                </w:p>
              </w:tc>
              <w:tc>
                <w:tcPr>
                  <w:tcW w:type="dxa" w:w="4500"/>
                  <w:tcBorders>
                    <w:top w:val="single" w:color="D0D7E3" w:sz="4"/>
                    <w:left w:val="single" w:color="D0D7E3" w:sz="4"/>
                    <w:bottom w:val="single" w:color="D0D7E3" w:sz="4"/>
                    <w:right w:val="single" w:color="D0D7E3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4A5568"/>
                      <w:sz w:val="17"/>
                      <w:szCs w:val="17"/>
                    </w:rPr>
                    <w:t xml:space="preserve">ADK orchestration, MCP tool schemas, stub library, synthesis prompt</w:t>
                  </w:r>
                </w:p>
              </w:tc>
              <w:tc>
                <w:tcPr>
                  <w:tcW w:type="dxa" w:w="2460"/>
                  <w:tcBorders>
                    <w:top w:val="single" w:color="D0D7E3" w:sz="4"/>
                    <w:left w:val="single" w:color="D0D7E3" w:sz="4"/>
                    <w:bottom w:val="single" w:color="D0D7E3" w:sz="4"/>
                    <w:right w:val="single" w:color="D0D7E3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4A5568"/>
                      <w:sz w:val="17"/>
                      <w:szCs w:val="17"/>
                    </w:rPr>
                    <w:t xml:space="preserve">Your Team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D0D7E3" w:sz="4"/>
                    <w:left w:val="single" w:color="D0D7E3" w:sz="4"/>
                    <w:bottom w:val="single" w:color="D0D7E3" w:sz="4"/>
                    <w:right w:val="single" w:color="D0D7E3" w:sz="4"/>
                  </w:tcBorders>
                  <w:shd w:fill="1B2A4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1800"/>
                  <w:tcBorders>
                    <w:top w:val="single" w:color="D0D7E3" w:sz="4"/>
                    <w:left w:val="single" w:color="D0D7E3" w:sz="4"/>
                    <w:bottom w:val="single" w:color="D0D7E3" w:sz="4"/>
                    <w:right w:val="single" w:color="D0D7E3" w:sz="4"/>
                  </w:tcBorders>
                  <w:shd w:fill="F5F7F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B2A4A"/>
                      <w:sz w:val="18"/>
                      <w:szCs w:val="18"/>
                    </w:rPr>
                    <w:t xml:space="preserve">Output &amp; Demo</w:t>
                  </w:r>
                </w:p>
              </w:tc>
              <w:tc>
                <w:tcPr>
                  <w:tcW w:type="dxa" w:w="4500"/>
                  <w:tcBorders>
                    <w:top w:val="single" w:color="D0D7E3" w:sz="4"/>
                    <w:left w:val="single" w:color="D0D7E3" w:sz="4"/>
                    <w:bottom w:val="single" w:color="D0D7E3" w:sz="4"/>
                    <w:right w:val="single" w:color="D0D7E3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4A5568"/>
                      <w:sz w:val="17"/>
                      <w:szCs w:val="17"/>
                    </w:rPr>
                    <w:t xml:space="preserve">Jira comment format, Slack notification, demo scenario script</w:t>
                  </w:r>
                </w:p>
              </w:tc>
              <w:tc>
                <w:tcPr>
                  <w:tcW w:type="dxa" w:w="2460"/>
                  <w:tcBorders>
                    <w:top w:val="single" w:color="D0D7E3" w:sz="4"/>
                    <w:left w:val="single" w:color="D0D7E3" w:sz="4"/>
                    <w:bottom w:val="single" w:color="D0D7E3" w:sz="4"/>
                    <w:right w:val="single" w:color="D0D7E3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4A5568"/>
                      <w:sz w:val="17"/>
                      <w:szCs w:val="17"/>
                    </w:rPr>
                    <w:t xml:space="preserve">Your Team</w:t>
                  </w:r>
                </w:p>
              </w:tc>
            </w:tr>
          </w:tbl>
          <w:p/>
        </w:tc>
        <w:tc>
          <w:tcPr>
            <w:tcW w:type="dxa" w:w="5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</w:tcPr>
          <w:p>
            <w:pPr>
              <w:pBdr>
                <w:bottom w:val="single" w:color="2E5FA3" w:sz="6" w:space="4"/>
              </w:pBd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KEY RISKS &amp; MITIGATIONS</w:t>
            </w:r>
          </w:p>
          <w:tbl>
            <w:tblPr>
              <w:tblW w:type="dxa" w:w="525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500"/>
              <w:gridCol w:w="4500"/>
              <w:gridCol w:w="1360"/>
            </w:tblGrid>
            <w:tr>
              <w:tc>
                <w:tcPr>
                  <w:tcW w:type="dxa" w:w="3500"/>
                  <w:tcBorders>
                    <w:top w:val="single" w:color="D0D7E3" w:sz="4"/>
                    <w:left w:val="single" w:color="D0D7E3" w:sz="4"/>
                    <w:bottom w:val="single" w:color="D0D7E3" w:sz="4"/>
                    <w:right w:val="single" w:color="D0D7E3" w:sz="4"/>
                  </w:tcBorders>
                  <w:shd w:fill="1B2A4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Risk</w:t>
                  </w:r>
                </w:p>
              </w:tc>
              <w:tc>
                <w:tcPr>
                  <w:tcW w:type="dxa" w:w="4500"/>
                  <w:tcBorders>
                    <w:top w:val="single" w:color="D0D7E3" w:sz="4"/>
                    <w:left w:val="single" w:color="D0D7E3" w:sz="4"/>
                    <w:bottom w:val="single" w:color="D0D7E3" w:sz="4"/>
                    <w:right w:val="single" w:color="D0D7E3" w:sz="4"/>
                  </w:tcBorders>
                  <w:shd w:fill="1B2A4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Mitigation</w:t>
                  </w:r>
                </w:p>
              </w:tc>
              <w:tc>
                <w:tcPr>
                  <w:tcW w:type="dxa" w:w="1360"/>
                  <w:tcBorders>
                    <w:top w:val="single" w:color="D0D7E3" w:sz="4"/>
                    <w:left w:val="single" w:color="D0D7E3" w:sz="4"/>
                    <w:bottom w:val="single" w:color="D0D7E3" w:sz="4"/>
                    <w:right w:val="single" w:color="D0D7E3" w:sz="4"/>
                  </w:tcBorders>
                  <w:shd w:fill="1B2A4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Status</w:t>
                  </w:r>
                </w:p>
              </w:tc>
            </w:tr>
            <w:tr>
              <w:tc>
                <w:tcPr>
                  <w:tcW w:type="dxa" w:w="3500"/>
                  <w:tcBorders>
                    <w:top w:val="single" w:color="D0D7E3" w:sz="4"/>
                    <w:left w:val="single" w:color="D0D7E3" w:sz="4"/>
                    <w:bottom w:val="single" w:color="D0D7E3" w:sz="4"/>
                    <w:right w:val="single" w:color="D0D7E3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1B2A4A"/>
                      <w:sz w:val="17"/>
                      <w:szCs w:val="17"/>
                    </w:rPr>
                    <w:t xml:space="preserve">Tachyon not ready in 2–4 weeks</w:t>
                  </w:r>
                </w:p>
              </w:tc>
              <w:tc>
                <w:tcPr>
                  <w:tcW w:type="dxa" w:w="4500"/>
                  <w:tcBorders>
                    <w:top w:val="single" w:color="D0D7E3" w:sz="4"/>
                    <w:left w:val="single" w:color="D0D7E3" w:sz="4"/>
                    <w:bottom w:val="single" w:color="D0D7E3" w:sz="4"/>
                    <w:right w:val="single" w:color="D0D7E3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4A5568"/>
                      <w:sz w:val="17"/>
                      <w:szCs w:val="17"/>
                    </w:rPr>
                    <w:t xml:space="preserve">Build against stub layer now; swap Tachyon in post-POC</w:t>
                  </w:r>
                </w:p>
              </w:tc>
              <w:tc>
                <w:tcPr>
                  <w:tcW w:type="dxa" w:w="1360"/>
                  <w:tcBorders>
                    <w:top w:val="single" w:color="D0D7E3" w:sz="4"/>
                    <w:left w:val="single" w:color="D0D7E3" w:sz="4"/>
                    <w:bottom w:val="single" w:color="D0D7E3" w:sz="4"/>
                    <w:right w:val="single" w:color="D0D7E3" w:sz="4"/>
                  </w:tcBorders>
                  <w:shd w:fill="1A7A8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MANAGED</w:t>
                  </w:r>
                </w:p>
              </w:tc>
            </w:tr>
            <w:tr>
              <w:tc>
                <w:tcPr>
                  <w:tcW w:type="dxa" w:w="3500"/>
                  <w:tcBorders>
                    <w:top w:val="single" w:color="D0D7E3" w:sz="4"/>
                    <w:left w:val="single" w:color="D0D7E3" w:sz="4"/>
                    <w:bottom w:val="single" w:color="D0D7E3" w:sz="4"/>
                    <w:right w:val="single" w:color="D0D7E3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1B2A4A"/>
                      <w:sz w:val="17"/>
                      <w:szCs w:val="17"/>
                    </w:rPr>
                    <w:t xml:space="preserve">LLM output inconsistency</w:t>
                  </w:r>
                </w:p>
              </w:tc>
              <w:tc>
                <w:tcPr>
                  <w:tcW w:type="dxa" w:w="4500"/>
                  <w:tcBorders>
                    <w:top w:val="single" w:color="D0D7E3" w:sz="4"/>
                    <w:left w:val="single" w:color="D0D7E3" w:sz="4"/>
                    <w:bottom w:val="single" w:color="D0D7E3" w:sz="4"/>
                    <w:right w:val="single" w:color="D0D7E3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4A5568"/>
                      <w:sz w:val="17"/>
                      <w:szCs w:val="17"/>
                    </w:rPr>
                    <w:t xml:space="preserve">Structured prompt templates with versioning; slot-filling not free-form</w:t>
                  </w:r>
                </w:p>
              </w:tc>
              <w:tc>
                <w:tcPr>
                  <w:tcW w:type="dxa" w:w="1360"/>
                  <w:tcBorders>
                    <w:top w:val="single" w:color="D0D7E3" w:sz="4"/>
                    <w:left w:val="single" w:color="D0D7E3" w:sz="4"/>
                    <w:bottom w:val="single" w:color="D0D7E3" w:sz="4"/>
                    <w:right w:val="single" w:color="D0D7E3" w:sz="4"/>
                  </w:tcBorders>
                  <w:shd w:fill="1A7A8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MANAGED</w:t>
                  </w:r>
                </w:p>
              </w:tc>
            </w:tr>
            <w:tr>
              <w:tc>
                <w:tcPr>
                  <w:tcW w:type="dxa" w:w="3500"/>
                  <w:tcBorders>
                    <w:top w:val="single" w:color="D0D7E3" w:sz="4"/>
                    <w:left w:val="single" w:color="D0D7E3" w:sz="4"/>
                    <w:bottom w:val="single" w:color="D0D7E3" w:sz="4"/>
                    <w:right w:val="single" w:color="D0D7E3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1B2A4A"/>
                      <w:sz w:val="17"/>
                      <w:szCs w:val="17"/>
                    </w:rPr>
                    <w:t xml:space="preserve">Confidence threshold too aggressive</w:t>
                  </w:r>
                </w:p>
              </w:tc>
              <w:tc>
                <w:tcPr>
                  <w:tcW w:type="dxa" w:w="4500"/>
                  <w:tcBorders>
                    <w:top w:val="single" w:color="D0D7E3" w:sz="4"/>
                    <w:left w:val="single" w:color="D0D7E3" w:sz="4"/>
                    <w:bottom w:val="single" w:color="D0D7E3" w:sz="4"/>
                    <w:right w:val="single" w:color="D0D7E3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4A5568"/>
                      <w:sz w:val="17"/>
                      <w:szCs w:val="17"/>
                    </w:rPr>
                    <w:t xml:space="preserve">Configurable value — tunable during demo without code changes</w:t>
                  </w:r>
                </w:p>
              </w:tc>
              <w:tc>
                <w:tcPr>
                  <w:tcW w:type="dxa" w:w="1360"/>
                  <w:tcBorders>
                    <w:top w:val="single" w:color="D0D7E3" w:sz="4"/>
                    <w:left w:val="single" w:color="D0D7E3" w:sz="4"/>
                    <w:bottom w:val="single" w:color="D0D7E3" w:sz="4"/>
                    <w:right w:val="single" w:color="D0D7E3" w:sz="4"/>
                  </w:tcBorders>
                  <w:shd w:fill="C97B0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WATCH</w:t>
                  </w:r>
                </w:p>
              </w:tc>
            </w:tr>
            <w:tr>
              <w:tc>
                <w:tcPr>
                  <w:tcW w:type="dxa" w:w="3500"/>
                  <w:tcBorders>
                    <w:top w:val="single" w:color="D0D7E3" w:sz="4"/>
                    <w:left w:val="single" w:color="D0D7E3" w:sz="4"/>
                    <w:bottom w:val="single" w:color="D0D7E3" w:sz="4"/>
                    <w:right w:val="single" w:color="D0D7E3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1B2A4A"/>
                      <w:sz w:val="17"/>
                      <w:szCs w:val="17"/>
                    </w:rPr>
                    <w:t xml:space="preserve">Platform team dependency delay</w:t>
                  </w:r>
                </w:p>
              </w:tc>
              <w:tc>
                <w:tcPr>
                  <w:tcW w:type="dxa" w:w="4500"/>
                  <w:tcBorders>
                    <w:top w:val="single" w:color="D0D7E3" w:sz="4"/>
                    <w:left w:val="single" w:color="D0D7E3" w:sz="4"/>
                    <w:bottom w:val="single" w:color="D0D7E3" w:sz="4"/>
                    <w:right w:val="single" w:color="D0D7E3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4A5568"/>
                      <w:sz w:val="17"/>
                      <w:szCs w:val="17"/>
                    </w:rPr>
                    <w:t xml:space="preserve">Raise Tachyon request immediately; stubs unblock build in parallel</w:t>
                  </w:r>
                </w:p>
              </w:tc>
              <w:tc>
                <w:tcPr>
                  <w:tcW w:type="dxa" w:w="1360"/>
                  <w:tcBorders>
                    <w:top w:val="single" w:color="D0D7E3" w:sz="4"/>
                    <w:left w:val="single" w:color="D0D7E3" w:sz="4"/>
                    <w:bottom w:val="single" w:color="D0D7E3" w:sz="4"/>
                    <w:right w:val="single" w:color="D0D7E3" w:sz="4"/>
                  </w:tcBorders>
                  <w:shd w:fill="C97B0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WATCH</w:t>
                  </w:r>
                </w:p>
              </w:tc>
            </w:tr>
          </w:tbl>
          <w:p/>
        </w:tc>
      </w:tr>
    </w:tbl>
    <w:p>
      <w:pPr>
        <w:spacing w:before="60" w:after="60"/>
      </w:pPr>
      <w:r>
        <w:t xml:space="preserv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3512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Immediate Actions Required</w:t>
            </w:r>
          </w:p>
          <w:p>
            <w:r>
              <w:rPr>
                <w:rFonts w:ascii="Arial" w:cs="Arial" w:eastAsia="Arial" w:hAnsi="Arial"/>
                <w:color w:val="A8C4E0"/>
                <w:sz w:val="17"/>
                <w:szCs w:val="17"/>
              </w:rPr>
              <w:t xml:space="preserve">① Raise Tachyon onboarding request with Platform Team this week</w:t>
            </w:r>
          </w:p>
          <w:p>
            <w:r>
              <w:rPr>
                <w:rFonts w:ascii="Arial" w:cs="Arial" w:eastAsia="Arial" w:hAnsi="Arial"/>
                <w:color w:val="A8C4E0"/>
                <w:sz w:val="17"/>
                <w:szCs w:val="17"/>
              </w:rPr>
              <w:t xml:space="preserve">② Confirm escalation threshold owner (business stakeholder, not engineering)</w:t>
            </w:r>
          </w:p>
          <w:p>
            <w:r>
              <w:rPr>
                <w:rFonts w:ascii="Arial" w:cs="Arial" w:eastAsia="Arial" w:hAnsi="Arial"/>
                <w:color w:val="A8C4E0"/>
                <w:sz w:val="17"/>
                <w:szCs w:val="17"/>
              </w:rPr>
              <w:t xml:space="preserve">③ Select two demo incident scenarios for stub library design</w:t>
            </w:r>
          </w:p>
        </w:tc>
        <w:tc>
          <w:tcPr>
            <w:tcW w:type="dxa" w:w="35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POC SCOPE: READ-ONLY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8C4E0"/>
                <w:sz w:val="16"/>
                <w:szCs w:val="16"/>
              </w:rPr>
              <w:t xml:space="preserve">No PII leaves Tachyon boundary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8C4E0"/>
                <w:sz w:val="16"/>
                <w:szCs w:val="16"/>
              </w:rPr>
              <w:t xml:space="preserve">Full audit trail on every agent run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8C4E0"/>
                <w:sz w:val="16"/>
                <w:szCs w:val="16"/>
              </w:rPr>
              <w:t xml:space="preserve">Compliant by design</w:t>
            </w:r>
          </w:p>
        </w:tc>
      </w:tr>
    </w:tbl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2A4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2026-02-20T01:18:52.983Z</dcterms:created>
  <dcterms:modified xsi:type="dcterms:W3CDTF">2026-02-20T01:18:52.984Z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