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SINTOMAS, DESFECHOS OBJETIVOS E BIOMARCADORES EM PROFISSIONAIS DE CENTRO CIRÚRGICO EXPOSTOS À FUMAÇA CIRÚRGICA: REVISÃO SISTEMÁTICA E METANÁLISE DE PREVALÊNCIA</w:t>
      </w:r>
    </w:p>
    <w:p>
      <w:pPr>
        <w:spacing w:after="120" w:line="240"/>
        <w:jc w:val="center"/>
      </w:pPr>
      <w:r>
        <w:rPr>
          <w:rFonts w:ascii="Arial" w:cs="Arial" w:eastAsia="Arial" w:hAnsi="Arial"/>
          <w:sz w:val="24"/>
          <w:szCs w:val="24"/>
        </w:rPr>
        <w:t xml:space="preserve">Theo Augusto Lopes de Moraes Báccaro; Luiz Henrique Ledesma Pereira; Mariana Matera Veras; Lisie Tocci Justo (Professora orientadora).</w:t>
      </w:r>
    </w:p>
    <w:p>
      <w:pPr>
        <w:spacing w:after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Faculdade São Leopoldo Mandic, Araras, São Paulo, Brasil (Theo Augusto Lopes de Moraes Báccaro, Luiz Henrique Ledesma Pereira e Lisie Tocci Justo); Laboratório de Patologia Ambiental e Experimental (LIM05), Hospital das Clínicas da Faculdade de Medicina da Universidade de São Paulo, São Paulo, São Paulo, Brasil (Mariana Matera Veras).</w:t>
      </w:r>
    </w:p>
    <w:p>
      <w:pPr>
        <w:spacing w:after="3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E-mail do autor responsável: </w:t>
      </w:r>
      <w:r>
        <w:rPr>
          <w:rFonts w:ascii="Arial" w:cs="Arial" w:eastAsia="Arial" w:hAnsi="Arial"/>
          <w:sz w:val="20"/>
          <w:szCs w:val="20"/>
        </w:rPr>
        <w:t xml:space="preserve">theo.baccaro@med.slmandic.edu.br</w:t>
      </w:r>
    </w:p>
    <w:p>
      <w:pPr>
        <w:spacing w:after="240" w:line="24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Introdução:</w:t>
      </w:r>
      <w:r>
        <w:rPr>
          <w:rFonts w:ascii="Arial" w:cs="Arial" w:eastAsia="Arial" w:hAnsi="Arial"/>
          <w:sz w:val="24"/>
          <w:szCs w:val="24"/>
        </w:rPr>
        <w:t xml:space="preserve"> a fumaça cirúrgica, produzida por dispositivos de energia, contém compostos tóxicos, partículas ultrafinas e material genético viral. Sintomas agudos são frequentemente relatados pela equipe cirúrgica, mas os efeitos crônicos não têm relação causal estabelecida, e as sínteses prévias eram majoritariamente descritivas.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Objetivo:</w:t>
      </w:r>
      <w:r>
        <w:rPr>
          <w:rFonts w:ascii="Arial" w:cs="Arial" w:eastAsia="Arial" w:hAnsi="Arial"/>
          <w:sz w:val="24"/>
          <w:szCs w:val="24"/>
        </w:rPr>
        <w:t xml:space="preserve"> avaliar os desfechos de saúde associados à exposição ocupacional à fumaça cirúrgica na equipe de centro cirúrgico.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Metodologia:</w:t>
      </w:r>
      <w:r>
        <w:rPr>
          <w:rFonts w:ascii="Arial" w:cs="Arial" w:eastAsia="Arial" w:hAnsi="Arial"/>
          <w:sz w:val="24"/>
          <w:szCs w:val="24"/>
        </w:rPr>
        <w:t xml:space="preserve"> revisão sistemática com metanálise de prevalência, relatada segundo o Preferred Reporting Items for Systematic Reviews and Meta-Analyses (PRISMA) 2020, com protocolo registrado (CRD420251238727). Pesquisaram-se sete bases e literatura cinzenta, com busca por citação, até 9 de julho de 2026, por estudos observacionais com profissionais de centro cirúrgico. Um único revisor conduziu seleção, extração e avaliação do risco de viés (Joanna Briggs Institute) e da certeza da evidência (Grading of Recommendations Assessment, Development and Evaluation). As prevalências foram combinadas por modelo de efeitos aleatórios (logito, Paule-Mandel e Hartung-Knapp), com intervalo de predição e análises de sensibilidade. O Comitê de Ética em Pesquisa dispensou a apreciação (protocolo nº 2025/0743).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Resultados:</w:t>
      </w:r>
      <w:r>
        <w:rPr>
          <w:rFonts w:ascii="Arial" w:cs="Arial" w:eastAsia="Arial" w:hAnsi="Arial"/>
          <w:sz w:val="24"/>
          <w:szCs w:val="24"/>
        </w:rPr>
        <w:t xml:space="preserve"> dos 16.757 registros, incluíram-se 22 relatórios de estudos observacionais de nove países. A prevalência combinada de sintoma ocular autorrelatado, desfecho principal, foi de 37,6% (intervalo de confiança de 95% [IC95%] 21,9–56,5; intervalo de predição [IP] 7–83%; I² = 93%; n = 756), e a de sintoma respiratório, exploratória, de 41,7% (IC95% 30,4–53,9; IP 15–74%; I² = 91%; n = 1.428). Estudos isolados relataram, entre expostos, menores valores espirométricos, metabólitos urinários de benzeno e xileno elevados, metaplasia ou hiperplasia nasal (70% versus 5%) e maior detecção nasal de material genético do papilomavírus humano (8,96% versus 1,73%). Nenhum estudo incluído avaliou diretamente câncer ou doença pulmonar obstrutiva crônica, e a certeza da evidência foi muito baixa em todos os desfechos.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Conclusão:</w:t>
      </w:r>
      <w:r>
        <w:rPr>
          <w:rFonts w:ascii="Arial" w:cs="Arial" w:eastAsia="Arial" w:hAnsi="Arial"/>
          <w:sz w:val="24"/>
          <w:szCs w:val="24"/>
        </w:rPr>
        <w:t xml:space="preserve"> sintomas oculares e respiratórios foram frequentemente relatados, com ampla variação entre contextos; a metanálise estima sua frequência em expostos, e não o efeito causal da fumaça. As alterações objetivas, sujeitas a coexposições, não demonstram doença crônica atribuível à fumaça. A proteção da equipe parece justificada pela carga sintomática e por precaução, e quantificar o risco de longo prazo requer estudos longitudinais.</w:t>
      </w:r>
    </w:p>
    <w:p>
      <w:pPr>
        <w:spacing w:after="0" w:line="24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Palavras-chave: </w:t>
      </w:r>
      <w:r>
        <w:rPr>
          <w:rFonts w:ascii="Arial" w:cs="Arial" w:eastAsia="Arial" w:hAnsi="Arial"/>
          <w:sz w:val="24"/>
          <w:szCs w:val="24"/>
        </w:rPr>
        <w:t xml:space="preserve">Fumaça; Exposição Ocupacional; Salas Cirúrgicas; Saúde Ocupacional; Revisão Sistemática.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— VIII SEMICA</dc:title>
  <dc:creator>Theo Augusto Lopes de Moraes Báccaro</dc:creator>
  <cp:lastModifiedBy>Un-named</cp:lastModifiedBy>
  <cp:revision>1</cp:revision>
  <dcterms:created xsi:type="dcterms:W3CDTF">2026-10-19T00:19:26.337Z</dcterms:created>
  <dcterms:modified xsi:type="dcterms:W3CDTF">2026-10-19T00:19:26.337Z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