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Guia de estudo e defesa — VIII SEMICA</w:t>
      </w:r>
    </w:p>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125" w:name="X462353c7cefd652735a2da6e05fe576606d3530"/>
    <w:p>
      <w:pPr>
        <w:pStyle w:val="Heading1"/>
      </w:pPr>
      <w:r>
        <w:t xml:space="preserve">Guia de estudo e defesa — VIII SEMICA (21/10/2026)</w:t>
      </w:r>
    </w:p>
    <w:p>
      <w:pPr>
        <w:pStyle w:val="FirstParagraph"/>
      </w:pPr>
      <w:r>
        <w:rPr>
          <w:bCs/>
          <w:b/>
        </w:rPr>
        <w:t xml:space="preserve">Trabalho:</w:t>
      </w:r>
      <w:r>
        <w:t xml:space="preserve"> </w:t>
      </w:r>
      <w:r>
        <w:t xml:space="preserve">Sintomas, desfechos objetivos e biomarcadores em profissionais de centro cirúrgico ocupacionalmente expostos à fumaça cirúrgica: revisão sistemática e metanálise de prevalência.</w:t>
      </w:r>
      <w:r>
        <w:t xml:space="preserve"> </w:t>
      </w:r>
      <w:r>
        <w:rPr>
          <w:bCs/>
          <w:b/>
        </w:rPr>
        <w:t xml:space="preserve">Autor:</w:t>
      </w:r>
      <w:r>
        <w:t xml:space="preserve"> </w:t>
      </w:r>
      <w:r>
        <w:t xml:space="preserve">Theo Augusto Lopes de Moraes Báccaro ·</w:t>
      </w:r>
      <w:r>
        <w:t xml:space="preserve"> </w:t>
      </w:r>
      <w:r>
        <w:rPr>
          <w:bCs/>
          <w:b/>
        </w:rPr>
        <w:t xml:space="preserve">Orientadora:</w:t>
      </w:r>
      <w:r>
        <w:t xml:space="preserve"> </w:t>
      </w:r>
      <w:r>
        <w:t xml:space="preserve">Profa. Lisie Tocci Justo ·</w:t>
      </w:r>
      <w:r>
        <w:t xml:space="preserve"> </w:t>
      </w:r>
      <w:r>
        <w:rPr>
          <w:bCs/>
          <w:b/>
        </w:rPr>
        <w:t xml:space="preserve">Coautores:</w:t>
      </w:r>
      <w:r>
        <w:t xml:space="preserve"> </w:t>
      </w:r>
      <w:r>
        <w:t xml:space="preserve">Luiz Henrique Ledesma Pereira; Mariana Matera Veras (LIM05, HC-FMUSP).</w:t>
      </w:r>
      <w:r>
        <w:t xml:space="preserve"> </w:t>
      </w:r>
      <w:r>
        <w:rPr>
          <w:bCs/>
          <w:b/>
        </w:rPr>
        <w:t xml:space="preserve">Registro:</w:t>
      </w:r>
      <w:r>
        <w:t xml:space="preserve"> </w:t>
      </w:r>
      <w:r>
        <w:t xml:space="preserve">PROSPERO CRD420251238727 ·</w:t>
      </w:r>
      <w:r>
        <w:t xml:space="preserve"> </w:t>
      </w:r>
      <w:r>
        <w:rPr>
          <w:bCs/>
          <w:b/>
        </w:rPr>
        <w:t xml:space="preserve">Dados e código:</w:t>
      </w:r>
      <w:r>
        <w:t xml:space="preserve"> </w:t>
      </w:r>
      <w:r>
        <w:t xml:space="preserve">osf.io/jktmn ·</w:t>
      </w:r>
      <w:r>
        <w:t xml:space="preserve"> </w:t>
      </w:r>
      <w:r>
        <w:rPr>
          <w:bCs/>
          <w:b/>
        </w:rPr>
        <w:t xml:space="preserve">Apresentação:</w:t>
      </w:r>
      <w:r>
        <w:t xml:space="preserve"> </w:t>
      </w:r>
      <w:r>
        <w:t xml:space="preserve">10 minutos, modelo oficial do SEMICA.</w:t>
      </w:r>
    </w:p>
    <w:bookmarkStart w:id="20" w:name="como-usar-este-guia"/>
    <w:p>
      <w:pPr>
        <w:pStyle w:val="Heading2"/>
      </w:pPr>
      <w:r>
        <w:t xml:space="preserve">Como usar este guia</w:t>
      </w:r>
    </w:p>
    <w:p>
      <w:pPr>
        <w:numPr>
          <w:ilvl w:val="0"/>
          <w:numId w:val="1001"/>
        </w:numPr>
        <w:pStyle w:val="Compact"/>
      </w:pPr>
      <w:r>
        <w:rPr>
          <w:bCs/>
          <w:b/>
        </w:rPr>
        <w:t xml:space="preserve">Primeiro leia o roteiro de fala (Parte 1)</w:t>
      </w:r>
      <w:r>
        <w:t xml:space="preserve"> </w:t>
      </w:r>
      <w:r>
        <w:t xml:space="preserve">junto com os slides abertos no modo</w:t>
      </w:r>
      <w:r>
        <w:t xml:space="preserve"> </w:t>
      </w:r>
      <w:r>
        <w:t xml:space="preserve">“</w:t>
      </w:r>
      <w:r>
        <w:t xml:space="preserve">Exibição do Apresentador</w:t>
      </w:r>
      <w:r>
        <w:t xml:space="preserve">”</w:t>
      </w:r>
      <w:r>
        <w:t xml:space="preserve">: cada slide tem as notas de fala com o tempo-alvo. Treine em voz alta com cronômetro pelo menos 5 vezes; a meta é terminar entre 9:00 e 9:40.</w:t>
      </w:r>
    </w:p>
    <w:p>
      <w:pPr>
        <w:numPr>
          <w:ilvl w:val="0"/>
          <w:numId w:val="1001"/>
        </w:numPr>
        <w:pStyle w:val="Compact"/>
      </w:pPr>
      <w:r>
        <w:rPr>
          <w:bCs/>
          <w:b/>
        </w:rPr>
        <w:t xml:space="preserve">Depois estude o método (Partes 2 a 4).</w:t>
      </w:r>
      <w:r>
        <w:t xml:space="preserve"> </w:t>
      </w:r>
      <w:r>
        <w:t xml:space="preserve">É a parte mais valorizada pela banca e a que você disse não dominar 100%. Cada etapa tem um quadro</w:t>
      </w:r>
      <w:r>
        <w:t xml:space="preserve"> </w:t>
      </w:r>
      <w:r>
        <w:t xml:space="preserve">“</w:t>
      </w:r>
      <w:r>
        <w:t xml:space="preserve">O que dizer se perguntarem</w:t>
      </w:r>
      <w:r>
        <w:t xml:space="preserve">”</w:t>
      </w:r>
      <w:r>
        <w:t xml:space="preserve"> </w:t>
      </w:r>
      <w:r>
        <w:t xml:space="preserve">com frases prontas.</w:t>
      </w:r>
    </w:p>
    <w:p>
      <w:pPr>
        <w:numPr>
          <w:ilvl w:val="0"/>
          <w:numId w:val="1001"/>
        </w:numPr>
        <w:pStyle w:val="Compact"/>
      </w:pPr>
      <w:r>
        <w:rPr>
          <w:bCs/>
          <w:b/>
        </w:rPr>
        <w:t xml:space="preserve">Treine as perguntas (Parte 5).</w:t>
      </w:r>
      <w:r>
        <w:t xml:space="preserve"> </w:t>
      </w:r>
      <w:r>
        <w:t xml:space="preserve">São cinco lentes de avaliador: estatística, metodologia de revisão, clínica e saúde ocupacional, banca crítica e perguntas gerais de IC. Peça a alguém para sortear perguntas e responda em até 60 segundos.</w:t>
      </w:r>
    </w:p>
    <w:p>
      <w:pPr>
        <w:numPr>
          <w:ilvl w:val="0"/>
          <w:numId w:val="1001"/>
        </w:numPr>
        <w:pStyle w:val="Compact"/>
      </w:pPr>
      <w:r>
        <w:rPr>
          <w:bCs/>
          <w:b/>
        </w:rPr>
        <w:t xml:space="preserve">Decore a ficha de números (Parte 6)</w:t>
      </w:r>
      <w:r>
        <w:t xml:space="preserve"> </w:t>
      </w:r>
      <w:r>
        <w:t xml:space="preserve">e leia o checklist do dia (Parte 7).</w:t>
      </w:r>
    </w:p>
    <w:p>
      <w:pPr>
        <w:pStyle w:val="FirstParagraph"/>
      </w:pPr>
      <w:r>
        <w:t xml:space="preserve">Convenções: tudo o que está marcado como</w:t>
      </w:r>
      <w:r>
        <w:t xml:space="preserve"> </w:t>
      </w:r>
      <w:r>
        <w:rPr>
          <w:bCs/>
          <w:b/>
        </w:rPr>
        <w:t xml:space="preserve">[deste trabalho]</w:t>
      </w:r>
      <w:r>
        <w:t xml:space="preserve"> </w:t>
      </w:r>
      <w:r>
        <w:t xml:space="preserve">vem do manuscrito final (v5); o que está marcado como</w:t>
      </w:r>
      <w:r>
        <w:t xml:space="preserve"> </w:t>
      </w:r>
      <w:r>
        <w:rPr>
          <w:bCs/>
          <w:b/>
        </w:rPr>
        <w:t xml:space="preserve">[conhecimento geral]</w:t>
      </w:r>
      <w:r>
        <w:t xml:space="preserve"> </w:t>
      </w:r>
      <w:r>
        <w:t xml:space="preserve">é explicação metodológica de apoio, não um dado do estudo.</w:t>
      </w:r>
    </w:p>
    <w:bookmarkEnd w:id="20"/>
    <w:bookmarkStart w:id="21" w:name="cronograma-de-fala-tempo-alvo-por-slide"/>
    <w:p>
      <w:pPr>
        <w:pStyle w:val="Heading2"/>
      </w:pPr>
      <w:r>
        <w:t xml:space="preserve">Cronograma de fala (tempo-alvo por slide)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Slide</w:t>
            </w:r>
          </w:p>
        </w:tc>
        <w:tc>
          <w:tcPr/>
          <w:p>
            <w:pPr>
              <w:pStyle w:val="Compact"/>
              <w:jc w:val="left"/>
            </w:pPr>
            <w:r>
              <w:t xml:space="preserve">Seção</w:t>
            </w:r>
          </w:p>
        </w:tc>
        <w:tc>
          <w:tcPr/>
          <w:p>
            <w:pPr>
              <w:pStyle w:val="Compact"/>
              <w:jc w:val="left"/>
            </w:pPr>
            <w:r>
              <w:t xml:space="preserve">Tempo</w:t>
            </w:r>
          </w:p>
        </w:tc>
        <w:tc>
          <w:tcPr/>
          <w:p>
            <w:pPr>
              <w:pStyle w:val="Compact"/>
              <w:jc w:val="left"/>
            </w:pPr>
            <w:r>
              <w:t xml:space="preserve">Relógio acumulado</w:t>
            </w:r>
          </w:p>
        </w:tc>
      </w:tr>
      <w:tr>
        <w:tc>
          <w:tcPr/>
          <w:p>
            <w:pPr>
              <w:pStyle w:val="Compact"/>
              <w:jc w:val="left"/>
            </w:pPr>
            <w:r>
              <w:t xml:space="preserve">1</w:t>
            </w:r>
          </w:p>
        </w:tc>
        <w:tc>
          <w:tcPr/>
          <w:p>
            <w:pPr>
              <w:pStyle w:val="Compact"/>
              <w:jc w:val="left"/>
            </w:pPr>
            <w:r>
              <w:t xml:space="preserve">Capa</w:t>
            </w:r>
          </w:p>
        </w:tc>
        <w:tc>
          <w:tcPr/>
          <w:p>
            <w:pPr>
              <w:pStyle w:val="Compact"/>
              <w:jc w:val="left"/>
            </w:pPr>
            <w:r>
              <w:t xml:space="preserve">0:15</w:t>
            </w:r>
          </w:p>
        </w:tc>
        <w:tc>
          <w:tcPr/>
          <w:p>
            <w:pPr>
              <w:pStyle w:val="Compact"/>
              <w:jc w:val="left"/>
            </w:pPr>
            <w:r>
              <w:t xml:space="preserve">0:15</w:t>
            </w:r>
          </w:p>
        </w:tc>
      </w:tr>
      <w:tr>
        <w:tc>
          <w:tcPr/>
          <w:p>
            <w:pPr>
              <w:pStyle w:val="Compact"/>
              <w:jc w:val="left"/>
            </w:pPr>
            <w:r>
              <w:t xml:space="preserve">2</w:t>
            </w:r>
          </w:p>
        </w:tc>
        <w:tc>
          <w:tcPr/>
          <w:p>
            <w:pPr>
              <w:pStyle w:val="Compact"/>
              <w:jc w:val="left"/>
            </w:pPr>
            <w:r>
              <w:t xml:space="preserve">Introdução</w:t>
            </w:r>
          </w:p>
        </w:tc>
        <w:tc>
          <w:tcPr/>
          <w:p>
            <w:pPr>
              <w:pStyle w:val="Compact"/>
              <w:jc w:val="left"/>
            </w:pPr>
            <w:r>
              <w:t xml:space="preserve">0:50</w:t>
            </w:r>
          </w:p>
        </w:tc>
        <w:tc>
          <w:tcPr/>
          <w:p>
            <w:pPr>
              <w:pStyle w:val="Compact"/>
              <w:jc w:val="left"/>
            </w:pPr>
            <w:r>
              <w:t xml:space="preserve">1:05</w:t>
            </w:r>
          </w:p>
        </w:tc>
      </w:tr>
      <w:tr>
        <w:tc>
          <w:tcPr/>
          <w:p>
            <w:pPr>
              <w:pStyle w:val="Compact"/>
              <w:jc w:val="left"/>
            </w:pPr>
            <w:r>
              <w:t xml:space="preserve">3</w:t>
            </w:r>
          </w:p>
        </w:tc>
        <w:tc>
          <w:tcPr/>
          <w:p>
            <w:pPr>
              <w:pStyle w:val="Compact"/>
              <w:jc w:val="left"/>
            </w:pPr>
            <w:r>
              <w:t xml:space="preserve">Objetivos (PECO / CoCoPop)</w:t>
            </w:r>
          </w:p>
        </w:tc>
        <w:tc>
          <w:tcPr/>
          <w:p>
            <w:pPr>
              <w:pStyle w:val="Compact"/>
              <w:jc w:val="left"/>
            </w:pPr>
            <w:r>
              <w:t xml:space="preserve">0:30</w:t>
            </w:r>
          </w:p>
        </w:tc>
        <w:tc>
          <w:tcPr/>
          <w:p>
            <w:pPr>
              <w:pStyle w:val="Compact"/>
              <w:jc w:val="left"/>
            </w:pPr>
            <w:r>
              <w:t xml:space="preserve">1:35</w:t>
            </w:r>
          </w:p>
        </w:tc>
      </w:tr>
      <w:tr>
        <w:tc>
          <w:tcPr/>
          <w:p>
            <w:pPr>
              <w:pStyle w:val="Compact"/>
              <w:jc w:val="left"/>
            </w:pPr>
            <w:r>
              <w:t xml:space="preserve">4</w:t>
            </w:r>
          </w:p>
        </w:tc>
        <w:tc>
          <w:tcPr/>
          <w:p>
            <w:pPr>
              <w:pStyle w:val="Compact"/>
              <w:jc w:val="left"/>
            </w:pPr>
            <w:r>
              <w:t xml:space="preserve">Metodologia — mapa dos 7 passos</w:t>
            </w:r>
          </w:p>
        </w:tc>
        <w:tc>
          <w:tcPr/>
          <w:p>
            <w:pPr>
              <w:pStyle w:val="Compact"/>
              <w:jc w:val="left"/>
            </w:pPr>
            <w:r>
              <w:t xml:space="preserve">0:30</w:t>
            </w:r>
          </w:p>
        </w:tc>
        <w:tc>
          <w:tcPr/>
          <w:p>
            <w:pPr>
              <w:pStyle w:val="Compact"/>
              <w:jc w:val="left"/>
            </w:pPr>
            <w:r>
              <w:t xml:space="preserve">2:05</w:t>
            </w:r>
          </w:p>
        </w:tc>
      </w:tr>
      <w:tr>
        <w:tc>
          <w:tcPr/>
          <w:p>
            <w:pPr>
              <w:pStyle w:val="Compact"/>
              <w:jc w:val="left"/>
            </w:pPr>
            <w:r>
              <w:t xml:space="preserve">5</w:t>
            </w:r>
          </w:p>
        </w:tc>
        <w:tc>
          <w:tcPr/>
          <w:p>
            <w:pPr>
              <w:pStyle w:val="Compact"/>
              <w:jc w:val="left"/>
            </w:pPr>
            <w:r>
              <w:t xml:space="preserve">Passos 1 e 2 — elegibilidade e busca</w:t>
            </w:r>
          </w:p>
        </w:tc>
        <w:tc>
          <w:tcPr/>
          <w:p>
            <w:pPr>
              <w:pStyle w:val="Compact"/>
              <w:jc w:val="left"/>
            </w:pPr>
            <w:r>
              <w:t xml:space="preserve">0:35</w:t>
            </w:r>
          </w:p>
        </w:tc>
        <w:tc>
          <w:tcPr/>
          <w:p>
            <w:pPr>
              <w:pStyle w:val="Compact"/>
              <w:jc w:val="left"/>
            </w:pPr>
            <w:r>
              <w:t xml:space="preserve">2:40</w:t>
            </w:r>
          </w:p>
        </w:tc>
      </w:tr>
      <w:tr>
        <w:tc>
          <w:tcPr/>
          <w:p>
            <w:pPr>
              <w:pStyle w:val="Compact"/>
              <w:jc w:val="left"/>
            </w:pPr>
            <w:r>
              <w:t xml:space="preserve">6</w:t>
            </w:r>
          </w:p>
        </w:tc>
        <w:tc>
          <w:tcPr/>
          <w:p>
            <w:pPr>
              <w:pStyle w:val="Compact"/>
              <w:jc w:val="left"/>
            </w:pPr>
            <w:r>
              <w:t xml:space="preserve">Passo 3 — seleção</w:t>
            </w:r>
          </w:p>
        </w:tc>
        <w:tc>
          <w:tcPr/>
          <w:p>
            <w:pPr>
              <w:pStyle w:val="Compact"/>
              <w:jc w:val="left"/>
            </w:pPr>
            <w:r>
              <w:t xml:space="preserve">0:35</w:t>
            </w:r>
          </w:p>
        </w:tc>
        <w:tc>
          <w:tcPr/>
          <w:p>
            <w:pPr>
              <w:pStyle w:val="Compact"/>
              <w:jc w:val="left"/>
            </w:pPr>
            <w:r>
              <w:t xml:space="preserve">3:15</w:t>
            </w:r>
          </w:p>
        </w:tc>
      </w:tr>
      <w:tr>
        <w:tc>
          <w:tcPr/>
          <w:p>
            <w:pPr>
              <w:pStyle w:val="Compact"/>
              <w:jc w:val="left"/>
            </w:pPr>
            <w:r>
              <w:t xml:space="preserve">7</w:t>
            </w:r>
          </w:p>
        </w:tc>
        <w:tc>
          <w:tcPr/>
          <w:p>
            <w:pPr>
              <w:pStyle w:val="Compact"/>
              <w:jc w:val="left"/>
            </w:pPr>
            <w:r>
              <w:t xml:space="preserve">Passos 4 e 5 — extração e JBI</w:t>
            </w:r>
          </w:p>
        </w:tc>
        <w:tc>
          <w:tcPr/>
          <w:p>
            <w:pPr>
              <w:pStyle w:val="Compact"/>
              <w:jc w:val="left"/>
            </w:pPr>
            <w:r>
              <w:t xml:space="preserve">0:30</w:t>
            </w:r>
          </w:p>
        </w:tc>
        <w:tc>
          <w:tcPr/>
          <w:p>
            <w:pPr>
              <w:pStyle w:val="Compact"/>
              <w:jc w:val="left"/>
            </w:pPr>
            <w:r>
              <w:t xml:space="preserve">3:45</w:t>
            </w:r>
          </w:p>
        </w:tc>
      </w:tr>
      <w:tr>
        <w:tc>
          <w:tcPr/>
          <w:p>
            <w:pPr>
              <w:pStyle w:val="Compact"/>
              <w:jc w:val="left"/>
            </w:pPr>
            <w:r>
              <w:t xml:space="preserve">8</w:t>
            </w:r>
          </w:p>
        </w:tc>
        <w:tc>
          <w:tcPr/>
          <w:p>
            <w:pPr>
              <w:pStyle w:val="Compact"/>
              <w:jc w:val="left"/>
            </w:pPr>
            <w:r>
              <w:t xml:space="preserve">Passo 6 — metanálise explicada</w:t>
            </w:r>
          </w:p>
        </w:tc>
        <w:tc>
          <w:tcPr/>
          <w:p>
            <w:pPr>
              <w:pStyle w:val="Compact"/>
              <w:jc w:val="left"/>
            </w:pPr>
            <w:r>
              <w:t xml:space="preserve">0:50</w:t>
            </w:r>
          </w:p>
        </w:tc>
        <w:tc>
          <w:tcPr/>
          <w:p>
            <w:pPr>
              <w:pStyle w:val="Compact"/>
              <w:jc w:val="left"/>
            </w:pPr>
            <w:r>
              <w:t xml:space="preserve">4:35</w:t>
            </w:r>
          </w:p>
        </w:tc>
      </w:tr>
      <w:tr>
        <w:tc>
          <w:tcPr/>
          <w:p>
            <w:pPr>
              <w:pStyle w:val="Compact"/>
              <w:jc w:val="left"/>
            </w:pPr>
            <w:r>
              <w:t xml:space="preserve">9</w:t>
            </w:r>
          </w:p>
        </w:tc>
        <w:tc>
          <w:tcPr/>
          <w:p>
            <w:pPr>
              <w:pStyle w:val="Compact"/>
              <w:jc w:val="left"/>
            </w:pPr>
            <w:r>
              <w:t xml:space="preserve">Passo 7 — GRADE</w:t>
            </w:r>
          </w:p>
        </w:tc>
        <w:tc>
          <w:tcPr/>
          <w:p>
            <w:pPr>
              <w:pStyle w:val="Compact"/>
              <w:jc w:val="left"/>
            </w:pPr>
            <w:r>
              <w:t xml:space="preserve">0:30</w:t>
            </w:r>
          </w:p>
        </w:tc>
        <w:tc>
          <w:tcPr/>
          <w:p>
            <w:pPr>
              <w:pStyle w:val="Compact"/>
              <w:jc w:val="left"/>
            </w:pPr>
            <w:r>
              <w:t xml:space="preserve">5:05</w:t>
            </w:r>
          </w:p>
        </w:tc>
      </w:tr>
      <w:tr>
        <w:tc>
          <w:tcPr/>
          <w:p>
            <w:pPr>
              <w:pStyle w:val="Compact"/>
              <w:jc w:val="left"/>
            </w:pPr>
            <w:r>
              <w:t xml:space="preserve">10</w:t>
            </w:r>
          </w:p>
        </w:tc>
        <w:tc>
          <w:tcPr/>
          <w:p>
            <w:pPr>
              <w:pStyle w:val="Compact"/>
              <w:jc w:val="left"/>
            </w:pPr>
            <w:r>
              <w:t xml:space="preserve">Resultados — seleção e características</w:t>
            </w:r>
          </w:p>
        </w:tc>
        <w:tc>
          <w:tcPr/>
          <w:p>
            <w:pPr>
              <w:pStyle w:val="Compact"/>
              <w:jc w:val="left"/>
            </w:pPr>
            <w:r>
              <w:t xml:space="preserve">0:25</w:t>
            </w:r>
          </w:p>
        </w:tc>
        <w:tc>
          <w:tcPr/>
          <w:p>
            <w:pPr>
              <w:pStyle w:val="Compact"/>
              <w:jc w:val="left"/>
            </w:pPr>
            <w:r>
              <w:t xml:space="preserve">5:30</w:t>
            </w:r>
          </w:p>
        </w:tc>
      </w:tr>
      <w:tr>
        <w:tc>
          <w:tcPr/>
          <w:p>
            <w:pPr>
              <w:pStyle w:val="Compact"/>
              <w:jc w:val="left"/>
            </w:pPr>
            <w:r>
              <w:t xml:space="preserve">11</w:t>
            </w:r>
          </w:p>
        </w:tc>
        <w:tc>
          <w:tcPr/>
          <w:p>
            <w:pPr>
              <w:pStyle w:val="Compact"/>
              <w:jc w:val="left"/>
            </w:pPr>
            <w:r>
              <w:t xml:space="preserve">Resultado principal — sintoma ocular</w:t>
            </w:r>
          </w:p>
        </w:tc>
        <w:tc>
          <w:tcPr/>
          <w:p>
            <w:pPr>
              <w:pStyle w:val="Compact"/>
              <w:jc w:val="left"/>
            </w:pPr>
            <w:r>
              <w:t xml:space="preserve">0:40</w:t>
            </w:r>
          </w:p>
        </w:tc>
        <w:tc>
          <w:tcPr/>
          <w:p>
            <w:pPr>
              <w:pStyle w:val="Compact"/>
              <w:jc w:val="left"/>
            </w:pPr>
            <w:r>
              <w:t xml:space="preserve">6:10</w:t>
            </w:r>
          </w:p>
        </w:tc>
      </w:tr>
      <w:tr>
        <w:tc>
          <w:tcPr/>
          <w:p>
            <w:pPr>
              <w:pStyle w:val="Compact"/>
              <w:jc w:val="left"/>
            </w:pPr>
            <w:r>
              <w:t xml:space="preserve">12</w:t>
            </w:r>
          </w:p>
        </w:tc>
        <w:tc>
          <w:tcPr/>
          <w:p>
            <w:pPr>
              <w:pStyle w:val="Compact"/>
              <w:jc w:val="left"/>
            </w:pPr>
            <w:r>
              <w:t xml:space="preserve">Sintoma respiratório e robustez</w:t>
            </w:r>
          </w:p>
        </w:tc>
        <w:tc>
          <w:tcPr/>
          <w:p>
            <w:pPr>
              <w:pStyle w:val="Compact"/>
              <w:jc w:val="left"/>
            </w:pPr>
            <w:r>
              <w:t xml:space="preserve">0:30</w:t>
            </w:r>
          </w:p>
        </w:tc>
        <w:tc>
          <w:tcPr/>
          <w:p>
            <w:pPr>
              <w:pStyle w:val="Compact"/>
              <w:jc w:val="left"/>
            </w:pPr>
            <w:r>
              <w:t xml:space="preserve">6:40</w:t>
            </w:r>
          </w:p>
        </w:tc>
      </w:tr>
      <w:tr>
        <w:tc>
          <w:tcPr/>
          <w:p>
            <w:pPr>
              <w:pStyle w:val="Compact"/>
              <w:jc w:val="left"/>
            </w:pPr>
            <w:r>
              <w:t xml:space="preserve">13</w:t>
            </w:r>
          </w:p>
        </w:tc>
        <w:tc>
          <w:tcPr/>
          <w:p>
            <w:pPr>
              <w:pStyle w:val="Compact"/>
              <w:jc w:val="left"/>
            </w:pPr>
            <w:r>
              <w:t xml:space="preserve">Desfechos objetivos e GRADE</w:t>
            </w:r>
          </w:p>
        </w:tc>
        <w:tc>
          <w:tcPr/>
          <w:p>
            <w:pPr>
              <w:pStyle w:val="Compact"/>
              <w:jc w:val="left"/>
            </w:pPr>
            <w:r>
              <w:t xml:space="preserve">0:40</w:t>
            </w:r>
          </w:p>
        </w:tc>
        <w:tc>
          <w:tcPr/>
          <w:p>
            <w:pPr>
              <w:pStyle w:val="Compact"/>
              <w:jc w:val="left"/>
            </w:pPr>
            <w:r>
              <w:t xml:space="preserve">7:20</w:t>
            </w:r>
          </w:p>
        </w:tc>
      </w:tr>
      <w:tr>
        <w:tc>
          <w:tcPr/>
          <w:p>
            <w:pPr>
              <w:pStyle w:val="Compact"/>
              <w:jc w:val="left"/>
            </w:pPr>
            <w:r>
              <w:t xml:space="preserve">14</w:t>
            </w:r>
          </w:p>
        </w:tc>
        <w:tc>
          <w:tcPr/>
          <w:p>
            <w:pPr>
              <w:pStyle w:val="Compact"/>
              <w:jc w:val="left"/>
            </w:pPr>
            <w:r>
              <w:t xml:space="preserve">Discussão — interpretação</w:t>
            </w:r>
          </w:p>
        </w:tc>
        <w:tc>
          <w:tcPr/>
          <w:p>
            <w:pPr>
              <w:pStyle w:val="Compact"/>
              <w:jc w:val="left"/>
            </w:pPr>
            <w:r>
              <w:t xml:space="preserve">0:30</w:t>
            </w:r>
          </w:p>
        </w:tc>
        <w:tc>
          <w:tcPr/>
          <w:p>
            <w:pPr>
              <w:pStyle w:val="Compact"/>
              <w:jc w:val="left"/>
            </w:pPr>
            <w:r>
              <w:t xml:space="preserve">7:50</w:t>
            </w:r>
          </w:p>
        </w:tc>
      </w:tr>
      <w:tr>
        <w:tc>
          <w:tcPr/>
          <w:p>
            <w:pPr>
              <w:pStyle w:val="Compact"/>
              <w:jc w:val="left"/>
            </w:pPr>
            <w:r>
              <w:t xml:space="preserve">15</w:t>
            </w:r>
          </w:p>
        </w:tc>
        <w:tc>
          <w:tcPr/>
          <w:p>
            <w:pPr>
              <w:pStyle w:val="Compact"/>
              <w:jc w:val="left"/>
            </w:pPr>
            <w:r>
              <w:t xml:space="preserve">Discussão — pontos fortes e limitações</w:t>
            </w:r>
          </w:p>
        </w:tc>
        <w:tc>
          <w:tcPr/>
          <w:p>
            <w:pPr>
              <w:pStyle w:val="Compact"/>
              <w:jc w:val="left"/>
            </w:pPr>
            <w:r>
              <w:t xml:space="preserve">0:25</w:t>
            </w:r>
          </w:p>
        </w:tc>
        <w:tc>
          <w:tcPr/>
          <w:p>
            <w:pPr>
              <w:pStyle w:val="Compact"/>
              <w:jc w:val="left"/>
            </w:pPr>
            <w:r>
              <w:t xml:space="preserve">8:15</w:t>
            </w:r>
          </w:p>
        </w:tc>
      </w:tr>
      <w:tr>
        <w:tc>
          <w:tcPr/>
          <w:p>
            <w:pPr>
              <w:pStyle w:val="Compact"/>
              <w:jc w:val="left"/>
            </w:pPr>
            <w:r>
              <w:t xml:space="preserve">16</w:t>
            </w:r>
          </w:p>
        </w:tc>
        <w:tc>
          <w:tcPr/>
          <w:p>
            <w:pPr>
              <w:pStyle w:val="Compact"/>
              <w:jc w:val="left"/>
            </w:pPr>
            <w:r>
              <w:t xml:space="preserve">Conclusão</w:t>
            </w:r>
          </w:p>
        </w:tc>
        <w:tc>
          <w:tcPr/>
          <w:p>
            <w:pPr>
              <w:pStyle w:val="Compact"/>
              <w:jc w:val="left"/>
            </w:pPr>
            <w:r>
              <w:t xml:space="preserve">0:25</w:t>
            </w:r>
          </w:p>
        </w:tc>
        <w:tc>
          <w:tcPr/>
          <w:p>
            <w:pPr>
              <w:pStyle w:val="Compact"/>
              <w:jc w:val="left"/>
            </w:pPr>
            <w:r>
              <w:t xml:space="preserve">8:40</w:t>
            </w:r>
          </w:p>
        </w:tc>
      </w:tr>
      <w:tr>
        <w:tc>
          <w:tcPr/>
          <w:p>
            <w:pPr>
              <w:pStyle w:val="Compact"/>
              <w:jc w:val="left"/>
            </w:pPr>
            <w:r>
              <w:t xml:space="preserve">17</w:t>
            </w:r>
          </w:p>
        </w:tc>
        <w:tc>
          <w:tcPr/>
          <w:p>
            <w:pPr>
              <w:pStyle w:val="Compact"/>
              <w:jc w:val="left"/>
            </w:pPr>
            <w:r>
              <w:t xml:space="preserve">Perspectivas futuras</w:t>
            </w:r>
          </w:p>
        </w:tc>
        <w:tc>
          <w:tcPr/>
          <w:p>
            <w:pPr>
              <w:pStyle w:val="Compact"/>
              <w:jc w:val="left"/>
            </w:pPr>
            <w:r>
              <w:t xml:space="preserve">0:15</w:t>
            </w:r>
          </w:p>
        </w:tc>
        <w:tc>
          <w:tcPr/>
          <w:p>
            <w:pPr>
              <w:pStyle w:val="Compact"/>
              <w:jc w:val="left"/>
            </w:pPr>
            <w:r>
              <w:t xml:space="preserve">8:55</w:t>
            </w:r>
          </w:p>
        </w:tc>
      </w:tr>
      <w:tr>
        <w:tc>
          <w:tcPr/>
          <w:p>
            <w:pPr>
              <w:pStyle w:val="Compact"/>
              <w:jc w:val="left"/>
            </w:pPr>
            <w:r>
              <w:t xml:space="preserve">18</w:t>
            </w:r>
          </w:p>
        </w:tc>
        <w:tc>
          <w:tcPr/>
          <w:p>
            <w:pPr>
              <w:pStyle w:val="Compact"/>
              <w:jc w:val="left"/>
            </w:pPr>
            <w:r>
              <w:t xml:space="preserve">Referências</w:t>
            </w:r>
          </w:p>
        </w:tc>
        <w:tc>
          <w:tcPr/>
          <w:p>
            <w:pPr>
              <w:pStyle w:val="Compact"/>
              <w:jc w:val="left"/>
            </w:pPr>
            <w:r>
              <w:t xml:space="preserve">0:05</w:t>
            </w:r>
          </w:p>
        </w:tc>
        <w:tc>
          <w:tcPr/>
          <w:p>
            <w:pPr>
              <w:pStyle w:val="Compact"/>
              <w:jc w:val="left"/>
            </w:pPr>
            <w:r>
              <w:t xml:space="preserve">9:00</w:t>
            </w:r>
          </w:p>
        </w:tc>
      </w:tr>
      <w:tr>
        <w:tc>
          <w:tcPr/>
          <w:p>
            <w:pPr>
              <w:pStyle w:val="Compact"/>
              <w:jc w:val="left"/>
            </w:pPr>
            <w:r>
              <w:t xml:space="preserve">19</w:t>
            </w:r>
          </w:p>
        </w:tc>
        <w:tc>
          <w:tcPr/>
          <w:p>
            <w:pPr>
              <w:pStyle w:val="Compact"/>
              <w:jc w:val="left"/>
            </w:pPr>
            <w:r>
              <w:t xml:space="preserve">Agradecimentos</w:t>
            </w:r>
          </w:p>
        </w:tc>
        <w:tc>
          <w:tcPr/>
          <w:p>
            <w:pPr>
              <w:pStyle w:val="Compact"/>
              <w:jc w:val="left"/>
            </w:pPr>
            <w:r>
              <w:t xml:space="preserve">0:10</w:t>
            </w:r>
          </w:p>
        </w:tc>
        <w:tc>
          <w:tcPr/>
          <w:p>
            <w:pPr>
              <w:pStyle w:val="Compact"/>
              <w:jc w:val="left"/>
            </w:pPr>
            <w:r>
              <w:t xml:space="preserve">9:10</w:t>
            </w:r>
          </w:p>
        </w:tc>
      </w:tr>
      <w:tr>
        <w:tc>
          <w:tcPr/>
          <w:p>
            <w:pPr>
              <w:pStyle w:val="Compact"/>
              <w:jc w:val="left"/>
            </w:pPr>
            <w:r>
              <w:t xml:space="preserve">20</w:t>
            </w:r>
          </w:p>
        </w:tc>
        <w:tc>
          <w:tcPr/>
          <w:p>
            <w:pPr>
              <w:pStyle w:val="Compact"/>
              <w:jc w:val="left"/>
            </w:pPr>
            <w:r>
              <w:t xml:space="preserve">Encerramento (fica na tela para as perguntas)</w:t>
            </w:r>
          </w:p>
        </w:tc>
        <w:tc>
          <w:tcPr/>
          <w:p>
            <w:pPr>
              <w:pStyle w:val="Compact"/>
              <w:jc w:val="left"/>
            </w:pPr>
            <w:r>
              <w:t xml:space="preserve">—</w:t>
            </w:r>
          </w:p>
        </w:tc>
        <w:tc>
          <w:tcPr/>
          <w:p>
            <w:pPr>
              <w:pStyle w:val="Compact"/>
              <w:jc w:val="left"/>
            </w:pPr>
            <w:r>
              <w:t xml:space="preserve">—</w:t>
            </w:r>
          </w:p>
        </w:tc>
      </w:tr>
    </w:tbl>
    <w:p>
      <w:pPr>
        <w:pStyle w:val="BodyText"/>
      </w:pPr>
      <w:r>
        <w:t xml:space="preserve">Se estiver atrasado ao chegar no slide 10, encurte os slides 12 e 15 (diga só a primeira frase de cada card). Nunca corte o slide 8 (metanálise) nem o 13 (desfechos objetivos e vazio de evidência): são os que mais rendem nota.</w:t>
      </w:r>
    </w:p>
    <w:bookmarkEnd w:id="21"/>
    <w:bookmarkStart w:id="42" w:name="parte-1-roteiro-de-fala-slide-a-slide"/>
    <w:p>
      <w:pPr>
        <w:pStyle w:val="Heading2"/>
      </w:pPr>
      <w:r>
        <w:t xml:space="preserve">Parte 1 — Roteiro de fala, slide a slide</w:t>
      </w:r>
    </w:p>
    <w:p>
      <w:pPr>
        <w:pStyle w:val="FirstParagraph"/>
      </w:pPr>
      <w:r>
        <w:t xml:space="preserve">Tempo-alvo total: ~9 min 30 s, deixando folga para os 10 minutos. Os colchetes indicam o relógio acumulado.</w:t>
      </w:r>
    </w:p>
    <w:bookmarkStart w:id="22" w:name="X9f4ceaf2d214111ab1bc3e8afd3e86d2bd3de94"/>
    <w:p>
      <w:pPr>
        <w:pStyle w:val="Heading3"/>
      </w:pPr>
      <w:r>
        <w:t xml:space="preserve">Slide 1 — VIII SEMICA – SEMINÁRIO DE INICIAÇÃO CIENTÍFICA</w:t>
      </w:r>
    </w:p>
    <w:p>
      <w:pPr>
        <w:pStyle w:val="FirstParagraph"/>
      </w:pPr>
      <w:r>
        <w:t xml:space="preserve">[0:00–0:15] CAPA</w:t>
      </w:r>
      <w:r>
        <w:t xml:space="preserve"> </w:t>
      </w:r>
      <w:r>
        <w:t xml:space="preserve">Bom dia a todos. Meu nome é Theo Báccaro, sou aluno de Medicina da São Leopoldo Mandic de Araras. Vou apresentar a Iniciação Científica que desenvolvi ao longo de um ano, sob orientação da Profa. Lisie Tocci Justo, com a colaboração do Luiz Henrique Ledesma Pereira e da Dra. Mariana Matera Veras, do LIM05 da USP.</w:t>
      </w:r>
      <w:r>
        <w:t xml:space="preserve"> </w:t>
      </w:r>
      <w:r>
        <w:t xml:space="preserve">O trabalho é uma revisão sistemática com metanálise de prevalência sobre os efeitos à saúde da exposição ocupacional à fumaça cirúrgica na equipe de centro cirúrgico.</w:t>
      </w:r>
    </w:p>
    <w:p>
      <w:pPr>
        <w:pStyle w:val="BodyText"/>
      </w:pPr>
      <w:r>
        <w:t xml:space="preserve">DICA: fale o título de forma natural, sem ler palavra por palavra. Respire e vá para o próximo slide.</w:t>
      </w:r>
    </w:p>
    <w:bookmarkEnd w:id="22"/>
    <w:bookmarkStart w:id="23" w:name="Xd13754fbdcca7f129808cd1111c404c9a1cdebf"/>
    <w:p>
      <w:pPr>
        <w:pStyle w:val="Heading3"/>
      </w:pPr>
      <w:r>
        <w:t xml:space="preserve">Slide 2 — INTRODUÇÃO: Fumaça cirúrgica: o que é e por que importa</w:t>
      </w:r>
    </w:p>
    <w:p>
      <w:pPr>
        <w:pStyle w:val="FirstParagraph"/>
      </w:pPr>
      <w:r>
        <w:t xml:space="preserve">[0:15–1:05] INTRODUÇÃO (~50 s)</w:t>
      </w:r>
      <w:r>
        <w:t xml:space="preserve"> </w:t>
      </w:r>
      <w:r>
        <w:t xml:space="preserve">Fumaça cirúrgica é o subproduto da destruição térmica dos tecidos pelo eletrocautério, pelo laser e pelo bisturi ultrassônico. Ela não é só</w:t>
      </w:r>
      <w:r>
        <w:t xml:space="preserve"> </w:t>
      </w:r>
      <w:r>
        <w:t xml:space="preserve">“</w:t>
      </w:r>
      <w:r>
        <w:t xml:space="preserve">fumaça</w:t>
      </w:r>
      <w:r>
        <w:t xml:space="preserve">”</w:t>
      </w:r>
      <w:r>
        <w:t xml:space="preserve">: contém hidrocarbonetos aromáticos policíclicos, compostos orgânicos voláteis como benzeno, tolueno e xileno, partículas ultrafinas que chegam às vias aéreas inferiores e até material genético viral, como o HPV.</w:t>
      </w:r>
      <w:r>
        <w:t xml:space="preserve"> </w:t>
      </w:r>
      <w:r>
        <w:t xml:space="preserve">Quem trabalha no centro cirúrgico relata com frequência irritação ocular, tosse, irritação de mucosas, cefaleia e náusea. O que não sabemos é o efeito de longo prazo: há plausibilidade biológica para câncer e doença respiratória, mas a relação causal nunca foi estabelecida, e revisões recentes chegam a dizer que o risco pode estar superestimado.</w:t>
      </w:r>
      <w:r>
        <w:t xml:space="preserve"> </w:t>
      </w:r>
      <w:r>
        <w:t xml:space="preserve">Enquanto isso, exaustão de fumaça e máscaras de alta filtração ainda são pouco adotadas. E a literatura prévia era descritiva, sem metanálise. Por isso desenhamos uma síntese em camadas: metanálise de prevalência dos sintomas e síntese narrativa, com GRADE, dos desfechos objetivos.</w:t>
      </w:r>
    </w:p>
    <w:p>
      <w:pPr>
        <w:pStyle w:val="BodyText"/>
      </w:pPr>
      <w:r>
        <w:t xml:space="preserve">PONTO-CHAVE: a palavra</w:t>
      </w:r>
      <w:r>
        <w:t xml:space="preserve"> </w:t>
      </w:r>
      <w:r>
        <w:t xml:space="preserve">“</w:t>
      </w:r>
      <w:r>
        <w:t xml:space="preserve">controvérsia</w:t>
      </w:r>
      <w:r>
        <w:t xml:space="preserve">”</w:t>
      </w:r>
      <w:r>
        <w:t xml:space="preserve"> </w:t>
      </w:r>
      <w:r>
        <w:t xml:space="preserve">justifica a revisão. Se a banca perguntar</w:t>
      </w:r>
      <w:r>
        <w:t xml:space="preserve"> </w:t>
      </w:r>
      <w:r>
        <w:t xml:space="preserve">“</w:t>
      </w:r>
      <w:r>
        <w:t xml:space="preserve">por que mais uma revisão?</w:t>
      </w:r>
      <w:r>
        <w:t xml:space="preserve">”</w:t>
      </w:r>
      <w:r>
        <w:t xml:space="preserve">, a resposta é: nenhuma anterior quantificou a prevalência com intervalo de predição e GRADE.</w:t>
      </w:r>
    </w:p>
    <w:bookmarkEnd w:id="23"/>
    <w:bookmarkStart w:id="24" w:name="X95519b11dbee4ab59cf256f0535e818f86bfce5"/>
    <w:p>
      <w:pPr>
        <w:pStyle w:val="Heading3"/>
      </w:pPr>
      <w:r>
        <w:t xml:space="preserve">Slide 3 — OBJETIVOS: Pergunta estruturada: PECO para os desfechos comparativos e CoCoPop para a prevalência</w:t>
      </w:r>
    </w:p>
    <w:p>
      <w:pPr>
        <w:pStyle w:val="FirstParagraph"/>
      </w:pPr>
      <w:r>
        <w:t xml:space="preserve">[1:05–1:35] OBJETIVOS (~30 s)</w:t>
      </w:r>
      <w:r>
        <w:t xml:space="preserve"> </w:t>
      </w:r>
      <w:r>
        <w:t xml:space="preserve">O objetivo foi avaliar os desfechos de saúde associados à exposição ocupacional à fumaça cirúrgica na equipe de centro cirúrgico, com ênfase em três coisas: prevalência de sintomas, desfechos objetivos e biomarcadores.</w:t>
      </w:r>
      <w:r>
        <w:t xml:space="preserve"> </w:t>
      </w:r>
      <w:r>
        <w:t xml:space="preserve">A pergunta foi estruturada em PECO: população é a equipe de centro cirúrgico; exposição é a fumaça dos dispositivos de energia; comparador são os não expostos ou protegidos; desfecho são os efeitos à saúde. Para a parte de prevalência usamos o esquema CoCoPop, condição, contexto e população, que é o recomendado pelo JBI para metanálises de proporção.</w:t>
      </w:r>
      <w:r>
        <w:t xml:space="preserve"> </w:t>
      </w:r>
      <w:r>
        <w:t xml:space="preserve">Um ponto que gosto de deixar claro desde o início: metanálise de proporção estima frequência, não efeito causal. Isso vai ser importante na hora de interpretar.</w:t>
      </w:r>
    </w:p>
    <w:p>
      <w:pPr>
        <w:pStyle w:val="BodyText"/>
      </w:pPr>
      <w:r>
        <w:t xml:space="preserve">SE PERGUNTAREM</w:t>
      </w:r>
      <w:r>
        <w:t xml:space="preserve"> </w:t>
      </w:r>
      <w:r>
        <w:t xml:space="preserve">“</w:t>
      </w:r>
      <w:r>
        <w:t xml:space="preserve">por que PECO e não PICO?</w:t>
      </w:r>
      <w:r>
        <w:t xml:space="preserve">”</w:t>
      </w:r>
      <w:r>
        <w:t xml:space="preserve">: porque é exposição, não intervenção; não houve alocação de intervenção.</w:t>
      </w:r>
    </w:p>
    <w:bookmarkEnd w:id="24"/>
    <w:bookmarkStart w:id="25" w:name="X1da1da8d9c9f8d3207769a8de2aded81c5226fc"/>
    <w:p>
      <w:pPr>
        <w:pStyle w:val="Heading3"/>
      </w:pPr>
      <w:r>
        <w:t xml:space="preserve">Slide 4 — METODOLOGIA: Mapa da revisão: 7 passos, do protocolo à certeza da evidência (PRISMA 2020)</w:t>
      </w:r>
    </w:p>
    <w:p>
      <w:pPr>
        <w:pStyle w:val="FirstParagraph"/>
      </w:pPr>
      <w:r>
        <w:t xml:space="preserve">[1:35–2:05] METODOLOGIA – MAPA (~30 s)</w:t>
      </w:r>
      <w:r>
        <w:t xml:space="preserve"> </w:t>
      </w:r>
      <w:r>
        <w:t xml:space="preserve">A parte que mais me orgulho é o método, então vou apresentá-lo como um passo a passo, do jeito que o PRISMA 2020 recomenda. São sete passos.</w:t>
      </w:r>
      <w:r>
        <w:t xml:space="preserve"> </w:t>
      </w:r>
      <w:r>
        <w:t xml:space="preserve">Um: a pergunta e o protocolo, registrado no PROSPERO antes da extração de dados, e a dispensa do Comitê de Ética, por ser revisão de literatura. Dois: a busca em sete bases, mais literatura cinzenta e busca por citação. Três: a seleção, com deduplicação, triagem e leitura na íntegra. Quatro: a extração padronizada. Cinco: o risco de viés com as ferramentas do JBI. Seis: a síntese, que é a metanálise de proporções. Sete: a certeza da evidência pelo GRADE.</w:t>
      </w:r>
      <w:r>
        <w:t xml:space="preserve"> </w:t>
      </w:r>
      <w:r>
        <w:t xml:space="preserve">Tudo foi feito com ferramentas abertas: Zotero, Rayyan, OpenAlex e análise em Python. Um assistente de IA foi usado apenas para priorizar a ordem de leitura; nenhuma decisão de elegibilidade ou extração foi delegada. O código e as planilhas estão públicos no OSF.</w:t>
      </w:r>
    </w:p>
    <w:p>
      <w:pPr>
        <w:pStyle w:val="BodyText"/>
      </w:pPr>
      <w:r>
        <w:t xml:space="preserve">DICA: não detalhe nada aqui; é só o mapa. Os próximos cinco slides percorrem os passos.</w:t>
      </w:r>
    </w:p>
    <w:bookmarkEnd w:id="25"/>
    <w:bookmarkStart w:id="26" w:name="X57680b1912299c1cfa963c7579300f611a105dc"/>
    <w:p>
      <w:pPr>
        <w:pStyle w:val="Heading3"/>
      </w:pPr>
      <w:r>
        <w:t xml:space="preserve">Slide 5 — METODOLOGIA: Passos 1 e 2 · Critérios de elegibilidade e busca de alta sensibilidade</w:t>
      </w:r>
    </w:p>
    <w:p>
      <w:pPr>
        <w:pStyle w:val="FirstParagraph"/>
      </w:pPr>
      <w:r>
        <w:t xml:space="preserve">[2:05–2:40] PASSOS 1 E 2 (~35 s)</w:t>
      </w:r>
      <w:r>
        <w:t xml:space="preserve"> </w:t>
      </w:r>
      <w:r>
        <w:t xml:space="preserve">Os critérios de elegibilidade foram fixados no protocolo. Incluímos estudos observacionais primários com profissionais de centro cirúrgico expostos, com qualquer efeito à saúde ou marcador de exposição como desfecho, em português, inglês ou espanhol, sem restrição de data. Excluímos estudos em animais, populações fora do centro cirúrgico, desfechos só no paciente, medições de ar sem desfecho humano e exposições não atribuíveis à fumaça.</w:t>
      </w:r>
      <w:r>
        <w:t xml:space="preserve"> </w:t>
      </w:r>
      <w:r>
        <w:t xml:space="preserve">A busca foi desenhada para sensibilidade máxima: dois blocos, população e exposição, sem bloco de desfecho, sem filtro de idioma nem de data. Rodamos em sete bases, mais literatura cinzenta e busca por citação automatizada no OpenAlex. Resultado: 16.757 registros, mais 443 referências rastreadas por citação. PubMed e Embase trouxeram quase metade.</w:t>
      </w:r>
    </w:p>
    <w:p>
      <w:pPr>
        <w:pStyle w:val="BodyText"/>
      </w:pPr>
      <w:r>
        <w:t xml:space="preserve">SE PERGUNTAREM por que a Cochrane CENTRAL deu zero: ela indexa ensaios clínicos e a revisão só incluiu observacionais; era esperado.</w:t>
      </w:r>
      <w:r>
        <w:t xml:space="preserve"> </w:t>
      </w:r>
      <w:r>
        <w:t xml:space="preserve">SE PERGUNTAREM por que sem bloco de desfecho: porque os desfechos eram heterogêneos (sintomas, espirometria, HPV…) e um bloco de desfecho reduziria a sensibilidade.</w:t>
      </w:r>
    </w:p>
    <w:bookmarkEnd w:id="26"/>
    <w:bookmarkStart w:id="27" w:name="Xce07f2279cdcb2f375d1a0d1fd82c70f5c966aa"/>
    <w:p>
      <w:pPr>
        <w:pStyle w:val="Heading3"/>
      </w:pPr>
      <w:r>
        <w:t xml:space="preserve">Slide 6 — METODOLOGIA: Passo 3 · Seleção dos estudos: do registro bruto ao relatório incluído</w:t>
      </w:r>
    </w:p>
    <w:p>
      <w:pPr>
        <w:pStyle w:val="FirstParagraph"/>
      </w:pPr>
      <w:r>
        <w:t xml:space="preserve">[2:40–3:15] PASSO 3 – SELEÇÃO (~35 s)</w:t>
      </w:r>
      <w:r>
        <w:t xml:space="preserve"> </w:t>
      </w:r>
      <w:r>
        <w:t xml:space="preserve">Da esquerda para a direita: 16.757 registros entraram no Zotero e foram importados no Rayyan, que removeu 5.839 duplicatas por DOI, PMID e similaridade de título. Sobraram 10.910 registros únicos, e eu li o título e o resumo de todos eles. Um script em Python e um assistente de IA só reordenaram a fila de leitura; quem decidia era eu, com os critérios.</w:t>
      </w:r>
      <w:r>
        <w:t xml:space="preserve"> </w:t>
      </w:r>
      <w:r>
        <w:t xml:space="preserve">Vinte e oito foram para texto completo, mais quatro vindos da busca por citação, total de 32; seis não foram recuperados apesar de tentativas por acesso institucional e contato com autores; 26 foram avaliados na íntegra e 22 incluídos.</w:t>
      </w:r>
      <w:r>
        <w:t xml:space="preserve"> </w:t>
      </w:r>
      <w:r>
        <w:t xml:space="preserve">Um cuidado importante: sete publicações vêm do mesmo grupo brasileiro, com amostras sobrepostas. Para não contar ninguém duas vezes, cada agrupamento recebeu só um representante desse cluster, o Bieniek 2022, que era o relato mais completo.</w:t>
      </w:r>
    </w:p>
    <w:p>
      <w:pPr>
        <w:pStyle w:val="BodyText"/>
      </w:pPr>
      <w:r>
        <w:t xml:space="preserve">HONESTIDADE METODOLÓGICA: a triagem foi feita por um único revisor. Isso está declarado como limitação; o PRISMA pede dupla revisão independente. Se perguntarem, diga que a decisão foi registrada com justificativa e que a replicação em duplicata está nas perspectivas.</w:t>
      </w:r>
    </w:p>
    <w:bookmarkEnd w:id="27"/>
    <w:bookmarkStart w:id="28" w:name="X84e0cecdf8c3a0d375dccb0d9a3d386c6379e23"/>
    <w:p>
      <w:pPr>
        <w:pStyle w:val="Heading3"/>
      </w:pPr>
      <w:r>
        <w:t xml:space="preserve">Slide 7 — METODOLOGIA: Passos 4 e 5 · Extração padronizada e avaliação do risco de viés (JBI)</w:t>
      </w:r>
    </w:p>
    <w:p>
      <w:pPr>
        <w:pStyle w:val="FirstParagraph"/>
      </w:pPr>
      <w:r>
        <w:t xml:space="preserve">[3:15–3:45] PASSOS 4 E 5 (~30 s)</w:t>
      </w:r>
      <w:r>
        <w:t xml:space="preserve"> </w:t>
      </w:r>
      <w:r>
        <w:t xml:space="preserve">A extração foi feita em planilha padronizada: identificação, desenho, população, dispositivo gerador, comparador, instrumento e definição do desfecho, taxa de resposta e, para a metanálise, o número de eventos e o denominador de cada estudo. Por exemplo, no İlçe 2017, 33 de 81 profissionais relataram lacrimejamento.</w:t>
      </w:r>
      <w:r>
        <w:t xml:space="preserve"> </w:t>
      </w:r>
      <w:r>
        <w:t xml:space="preserve">O risco de viés foi avaliado com as ferramentas do Joanna Briggs Institute, escolhidas pela função de cada estudo: a lista de prevalência, com nove itens, para os sete estudos das metanálises; a de transversal analítico para os comparativos; e a de coorte para os três longitudinais. O julgamento global foi qualitativo, guiado pelos domínios críticos: amostragem, tamanho amostral, validade da mensuração e taxa de resposta.</w:t>
      </w:r>
      <w:r>
        <w:t xml:space="preserve"> </w:t>
      </w:r>
      <w:r>
        <w:t xml:space="preserve">O semáforo resume: a preocupação foi moderada ou alta em todos, principalmente por amostragem não probabilística, taxa de resposta não relatada e desfecho autorrelatado. Nenhum estudo teve preocupação baixa, e isso vai pesar no GRADE.</w:t>
      </w:r>
    </w:p>
    <w:p>
      <w:pPr>
        <w:pStyle w:val="BodyText"/>
      </w:pPr>
      <w:r>
        <w:t xml:space="preserve">SE PERGUNTAREM por que JBI e não Newcastle-Ottawa ou ROBINS-E: o JBI tem lista específica para estudos de prevalência, alinhada ao CoCoPop; NOS não cobre prevalência e ROBINS-E é para exposição comparativa.</w:t>
      </w:r>
    </w:p>
    <w:bookmarkEnd w:id="28"/>
    <w:bookmarkStart w:id="29" w:name="Xafb251c9070c41d7538d93fc8a6b505bd8df352"/>
    <w:p>
      <w:pPr>
        <w:pStyle w:val="Heading3"/>
      </w:pPr>
      <w:r>
        <w:t xml:space="preserve">Slide 8 — METODOLOGIA: Passo 6 · Metanálise de prevalência explicada: de 7 proporções a uma estimativa combinada</w:t>
      </w:r>
    </w:p>
    <w:p>
      <w:pPr>
        <w:pStyle w:val="FirstParagraph"/>
      </w:pPr>
      <w:r>
        <w:t xml:space="preserve">[3:45–4:35] PASSO 6 – METANÁLISE (~50 s) ← o coração da apresentação</w:t>
      </w:r>
      <w:r>
        <w:t xml:space="preserve"> </w:t>
      </w:r>
      <w:r>
        <w:t xml:space="preserve">Vou explicar a metanálise em cinco passos. Primeiro, cada estudo vira uma proporção: eventos dividido pelo n. Segundo, aplicamos a transformação logito, o logaritmo da chance: isso tira a proporção da escala de zero a um, aproxima da distribuição normal e garante que a estimativa combinada e os intervalos fiquem entre 0 e 100%. Terceiro, usamos modelo de efeitos aleatórios, porque não faz sentido supor uma única prevalência verdadeira em hospitais da Turquia, da Malásia e do Brasil; a variância entre estudos, o tau-quadrado, foi estimada por Paule-Mandel. Quarto, o intervalo de confiança da estimativa combinada recebeu o ajuste de Hartung-Knapp, que usa a distribuição t e é mais honesto quando há poucos estudos e muita heterogeneidade. Quinto, voltamos para porcentagem e reportamos o I² e o intervalo de predição, que diz onde cairia a prevalência de um novo estudo.</w:t>
      </w:r>
      <w:r>
        <w:t xml:space="preserve"> </w:t>
      </w:r>
      <w:r>
        <w:t xml:space="preserve">Para testar a robustez, repetimos tudo com a transformação de Freeman-Tukey e com um modelo logístico misto, fizemos leave-one-out, gráfico de Baujat e subgrupo por país.</w:t>
      </w:r>
      <w:r>
        <w:t xml:space="preserve"> </w:t>
      </w:r>
      <w:r>
        <w:t xml:space="preserve">Não fizemos gráfico de funil nem Egger, porque em proporções o erro-padrão depende da própria proporção, o que cria assimetria falsa, e seriam necessários dez estudos.</w:t>
      </w:r>
    </w:p>
    <w:p>
      <w:pPr>
        <w:pStyle w:val="BodyText"/>
      </w:pPr>
      <w:r>
        <w:t xml:space="preserve">ANALOGIA se precisar: efeitos fixos =</w:t>
      </w:r>
      <w:r>
        <w:t xml:space="preserve"> </w:t>
      </w:r>
      <w:r>
        <w:t xml:space="preserve">“</w:t>
      </w:r>
      <w:r>
        <w:t xml:space="preserve">todos os estudos medem a mesma coisa com ruído</w:t>
      </w:r>
      <w:r>
        <w:t xml:space="preserve">”</w:t>
      </w:r>
      <w:r>
        <w:t xml:space="preserve">; efeitos aleatórios =</w:t>
      </w:r>
      <w:r>
        <w:t xml:space="preserve"> </w:t>
      </w:r>
      <w:r>
        <w:t xml:space="preserve">“</w:t>
      </w:r>
      <w:r>
        <w:t xml:space="preserve">cada estudo mede a sua prevalência, e queremos a média dessas prevalências e a dispersão delas</w:t>
      </w:r>
      <w:r>
        <w:t xml:space="preserve">”</w:t>
      </w:r>
      <w:r>
        <w:t xml:space="preserve">.</w:t>
      </w:r>
    </w:p>
    <w:bookmarkEnd w:id="29"/>
    <w:bookmarkStart w:id="30" w:name="X3d8e6c8f4063080e42bfde0289519c42a0aef58"/>
    <w:p>
      <w:pPr>
        <w:pStyle w:val="Heading3"/>
      </w:pPr>
      <w:r>
        <w:t xml:space="preserve">Slide 9 — METODOLOGIA: Passo 7 · Certeza da evidência: GRADE adaptado a desfechos de prevalência</w:t>
      </w:r>
    </w:p>
    <w:p>
      <w:pPr>
        <w:pStyle w:val="FirstParagraph"/>
      </w:pPr>
      <w:r>
        <w:t xml:space="preserve">[4:35–5:05] PASSO 7 – GRADE (~30 s)</w:t>
      </w:r>
      <w:r>
        <w:t xml:space="preserve"> </w:t>
      </w:r>
      <w:r>
        <w:t xml:space="preserve">O último passo foi graduar a certeza da evidência pelo GRADE, nos cinco domínios: risco de viés, inconsistência, evidência indireta, imprecisão e viés de publicação. Como não existe adaptação universal do GRADE para prevalência, explicitamos os critérios em cada domínio.</w:t>
      </w:r>
      <w:r>
        <w:t xml:space="preserve"> </w:t>
      </w:r>
      <w:r>
        <w:t xml:space="preserve">Partimos de certeza baixa, por ser evidência observacional, e qualquer domínio grave leva a muito baixa. Um detalhe que mostra cuidado: a evidência indireta não foi rebaixada nos sintomas, porque o sintoma autorrelatado é exatamente o desfecho da pergunta de frequência; já nos biomarcadores foi rebaixada, por coexposição e desfecho substituto. E evitamos dupla contagem: o intervalo de predição entrou em inconsistência, e a largura do IC em imprecisão.</w:t>
      </w:r>
      <w:r>
        <w:t xml:space="preserve"> </w:t>
      </w:r>
      <w:r>
        <w:t xml:space="preserve">À direita estão as decisões tomadas depois do registro no PROSPERO, todas declaradas no manuscrito.</w:t>
      </w:r>
    </w:p>
    <w:p>
      <w:pPr>
        <w:pStyle w:val="BodyText"/>
      </w:pPr>
      <w:r>
        <w:t xml:space="preserve">SE PERGUNTAREM</w:t>
      </w:r>
      <w:r>
        <w:t xml:space="preserve"> </w:t>
      </w:r>
      <w:r>
        <w:t xml:space="preserve">“</w:t>
      </w:r>
      <w:r>
        <w:t xml:space="preserve">se começasse em alta, mudaria?</w:t>
      </w:r>
      <w:r>
        <w:t xml:space="preserve">”</w:t>
      </w:r>
      <w:r>
        <w:t xml:space="preserve">: não. Com inconsistência muito grave, risco de viés grave e imprecisão grave, a certeza cairia três níveis e chegaria igualmente a muito baixa.</w:t>
      </w:r>
    </w:p>
    <w:bookmarkEnd w:id="30"/>
    <w:bookmarkStart w:id="31" w:name="X68097563b73d8da6ab0036e78b2c5ebb7cbe10c"/>
    <w:p>
      <w:pPr>
        <w:pStyle w:val="Heading3"/>
      </w:pPr>
      <w:r>
        <w:t xml:space="preserve">Slide 10 — RESULTADOS: Seleção (PRISMA 2020) e características dos 22 relatórios incluídos</w:t>
      </w:r>
    </w:p>
    <w:p>
      <w:pPr>
        <w:pStyle w:val="FirstParagraph"/>
      </w:pPr>
      <w:r>
        <w:t xml:space="preserve">[5:05–5:30] RESULTADOS – SELEÇÃO E CARACTERÍSTICAS (~25 s)</w:t>
      </w:r>
      <w:r>
        <w:t xml:space="preserve"> </w:t>
      </w:r>
      <w:r>
        <w:t xml:space="preserve">Este é o fluxograma PRISMA completo, que vocês já viram em números. Ficaram 22 relatórios de estudos observacionais, de nove países, a maioria transversal; três eram coortes prospectivas.</w:t>
      </w:r>
      <w:r>
        <w:t xml:space="preserve"> </w:t>
      </w:r>
      <w:r>
        <w:t xml:space="preserve">Depois do controle de sobreposição, seis amostras independentes, com 756 profissionais, entraram na metanálise ocular, e sete amostras, com 1.428, na respiratória.</w:t>
      </w:r>
      <w:r>
        <w:t xml:space="preserve"> </w:t>
      </w:r>
      <w:r>
        <w:t xml:space="preserve">No risco de viés, a preocupação foi moderada a alta nos inquéritos de prevalência, e moderada nos estudos de desfechos objetivos. Nenhum estudo teve preocupação baixa.</w:t>
      </w:r>
    </w:p>
    <w:bookmarkEnd w:id="31"/>
    <w:bookmarkStart w:id="32" w:name="X9f2953fb0eac3e4bdef3d5f97121e6bd46d1497"/>
    <w:p>
      <w:pPr>
        <w:pStyle w:val="Heading3"/>
      </w:pPr>
      <w:r>
        <w:t xml:space="preserve">Slide 11 — RESULTADOS: Desfecho principal · Prevalência combinada de sintoma ocular (irritação ou lacrimejamento)</w:t>
      </w:r>
    </w:p>
    <w:p>
      <w:pPr>
        <w:pStyle w:val="FirstParagraph"/>
      </w:pPr>
      <w:r>
        <w:t xml:space="preserve">[5:30–6:10] RESULTADO PRINCIPAL – OCULAR (~40 s)</w:t>
      </w:r>
      <w:r>
        <w:t xml:space="preserve"> </w:t>
      </w:r>
      <w:r>
        <w:t xml:space="preserve">Este é o resultado principal. A prevalência combinada de sintoma ocular, irritação ou lacrimejamento, foi de 37,6%, com intervalo de confiança de 21,9 a 56,5%. São seis amostras independentes, 756 profissionais.</w:t>
      </w:r>
      <w:r>
        <w:t xml:space="preserve"> </w:t>
      </w:r>
      <w:r>
        <w:t xml:space="preserve">No gráfico de floresta, cada quadrado é a prevalência de um estudo, com o tamanho proporcional ao peso; a linha é o intervalo de confiança; o losango vermelho é a estimativa combinada e a linha vermelha mais longa é o intervalo de predição, de 7 a 83%. Essa linha longa é a mensagem honesta: a heterogeneidade é de 93%, os estudos vão de 19% na Malásia a 56% na Turquia, e um novo estudo poderia cair em quase qualquer valor.</w:t>
      </w:r>
      <w:r>
        <w:t xml:space="preserve"> </w:t>
      </w:r>
      <w:r>
        <w:t xml:space="preserve">Reforço: isto é a proporção de profissionais que relataram o sintoma, conforme a definição de cada estudo, e não uma prevalência com período de recordatório homogêneo.</w:t>
      </w:r>
    </w:p>
    <w:p>
      <w:pPr>
        <w:pStyle w:val="BodyText"/>
      </w:pPr>
      <w:r>
        <w:t xml:space="preserve">SE PERGUNTAREM</w:t>
      </w:r>
      <w:r>
        <w:t xml:space="preserve"> </w:t>
      </w:r>
      <w:r>
        <w:t xml:space="preserve">“</w:t>
      </w:r>
      <w:r>
        <w:t xml:space="preserve">I² de 93% não invalida a metanálise?</w:t>
      </w:r>
      <w:r>
        <w:t xml:space="preserve">”</w:t>
      </w:r>
      <w:r>
        <w:t xml:space="preserve">: em prevalência, I² alto é a regra, não a exceção (Barker et al., 2021). Por isso reportamos o intervalo de predição e investigamos as fontes (país, definição), em vez de esconder a heterogeneidade num único número.</w:t>
      </w:r>
    </w:p>
    <w:bookmarkEnd w:id="32"/>
    <w:bookmarkStart w:id="33" w:name="Xf26829cd820149e964ca85f5151cbb6a3d447b6"/>
    <w:p>
      <w:pPr>
        <w:pStyle w:val="Heading3"/>
      </w:pPr>
      <w:r>
        <w:t xml:space="preserve">Slide 12 — RESULTADOS: Desfecho exploratório · Sintoma respiratório ou de vias aéreas, e robustez das estimativas</w:t>
      </w:r>
    </w:p>
    <w:p>
      <w:pPr>
        <w:pStyle w:val="FirstParagraph"/>
      </w:pPr>
      <w:r>
        <w:t xml:space="preserve">[6:10–6:40] RESPIRATÓRIO E ROBUSTEZ (~30 s)</w:t>
      </w:r>
      <w:r>
        <w:t xml:space="preserve"> </w:t>
      </w:r>
      <w:r>
        <w:t xml:space="preserve">O desfecho respiratório, tratado como exploratório porque as definições variam muito, deu 41,7%, com intervalo de predição de 15 a 74%, em sete amostras e 1.428 profissionais.</w:t>
      </w:r>
      <w:r>
        <w:t xml:space="preserve"> </w:t>
      </w:r>
      <w:r>
        <w:t xml:space="preserve">A tabela mostra por que confio nas estimativas: os três modelos, logito com Hartung-Knapp, Freeman-Tukey e o modelo logístico misto, deram praticamente o mesmo número; retirar um estudo por vez movimenta a estimativa ocular só entre 34 e 42%; e excluir o resumo de congresso não muda a leitura.</w:t>
      </w:r>
      <w:r>
        <w:t xml:space="preserve"> </w:t>
      </w:r>
      <w:r>
        <w:t xml:space="preserve">Um achado interessante: quando restringimos a definições específicas de sintoma respiratório, o I² caiu de 91 para 61%. Ou seja, boa parte da heterogeneidade vem de como cada estudo definiu o sintoma.</w:t>
      </w:r>
      <w:r>
        <w:t xml:space="preserve"> </w:t>
      </w:r>
      <w:r>
        <w:t xml:space="preserve">Na análise por país, a Turquia ficou em 50% e a Malásia em 20%, com diferença significativa, mas com dois ou três estudos por país isso é hipótese, não conclusão.</w:t>
      </w:r>
    </w:p>
    <w:bookmarkEnd w:id="33"/>
    <w:bookmarkStart w:id="34" w:name="X35325d701302c978bf323d2e28629ab97acee8a"/>
    <w:p>
      <w:pPr>
        <w:pStyle w:val="Heading3"/>
      </w:pPr>
      <w:r>
        <w:t xml:space="preserve">Slide 13 — RESULTADOS: Desfechos objetivos e biomarcadores: sinais além do incômodo agudo (1 estudo por desfecho)</w:t>
      </w:r>
    </w:p>
    <w:p>
      <w:pPr>
        <w:pStyle w:val="FirstParagraph"/>
      </w:pPr>
      <w:r>
        <w:t xml:space="preserve">[6:40–7:20] DESFECHOS OBJETIVOS E GRADE (~40 s)</w:t>
      </w:r>
      <w:r>
        <w:t xml:space="preserve"> </w:t>
      </w:r>
      <w:r>
        <w:t xml:space="preserve">Além dos sintomas, quatro estudos, um por desfecho, trouxeram medidas objetivas, e todos apontam na mesma direção, desfavorável aos expostos.</w:t>
      </w:r>
      <w:r>
        <w:t xml:space="preserve"> </w:t>
      </w:r>
      <w:r>
        <w:t xml:space="preserve">Espirometria no Sudão: VEF1, CVF e pico de fluxo menores nos expostos, com gradiente pelo tempo de atuação; mas a relação VEF1/CVF foi normal e o pico de fluxo depende de esforço, então lemos com cautela. Biomarcadores urinários no Brasil: metabólitos de benzeno e xileno e malondialdeído muito mais altos nos expostos. Biópsia nasal numa coorte mexicana de quatro anos: metaplasia em 70% dos expostos contra 5%, risco relativo de 13,9, com intervalo muito amplo. E DNA de HPV na mucosa nasal de ginecologistas chineses: 9% contra 1,7%, risco relativo de 5,2.</w:t>
      </w:r>
      <w:r>
        <w:t xml:space="preserve"> </w:t>
      </w:r>
      <w:r>
        <w:t xml:space="preserve">Pelo GRADE, a certeza foi muito baixa em todos os desfechos. E talvez o achado mais importante seja o que não encontramos: nenhum estudo avaliou diretamente câncer ou DPOC na equipe cirúrgica. Isso é um vazio de evidência, não evidência de ausência de risco.</w:t>
      </w:r>
    </w:p>
    <w:p>
      <w:pPr>
        <w:pStyle w:val="BodyText"/>
      </w:pPr>
      <w:r>
        <w:t xml:space="preserve">NÚMEROS para decorar: 37,6% ocular; 41,7% respiratório; RR 13,9 metaplasia; RR 5,2 HPV; 0 estudos de câncer/DPOC.</w:t>
      </w:r>
    </w:p>
    <w:bookmarkEnd w:id="34"/>
    <w:bookmarkStart w:id="35" w:name="X265ade63a5b57c7174561872d51334e28762d97"/>
    <w:p>
      <w:pPr>
        <w:pStyle w:val="Heading3"/>
      </w:pPr>
      <w:r>
        <w:t xml:space="preserve">Slide 14 — DISCUSSÃO: O que os achados significam e como interpretá-los com cautela</w:t>
      </w:r>
    </w:p>
    <w:p>
      <w:pPr>
        <w:pStyle w:val="FirstParagraph"/>
      </w:pPr>
      <w:r>
        <w:t xml:space="preserve">[7:20–7:50] DISCUSSÃO – INTERPRETAÇÃO (~30 s)</w:t>
      </w:r>
      <w:r>
        <w:t xml:space="preserve"> </w:t>
      </w:r>
      <w:r>
        <w:t xml:space="preserve">Três leituras. Primeira: a carga de sintomas é alta e coerente com a literatura; a novidade é ter uma estimativa combinada com intervalo de predição, subgrupo e GRADE. Segunda: a heterogeneidade acima de 90% é esperada em prevalência; em vez de escondê-la, mostramos o intervalo de predição e as fontes prováveis: definição do sintoma, composição da equipe, tempo de exposição e contexto, como exaustão e EPI. Terceira: os desfechos objetivos têm gradiente dose-resposta, temporalidade e plausibilidade, mas são um estudo por desfecho, com intervalos amplos e coexposições. São marcadores, não doença.</w:t>
      </w:r>
      <w:r>
        <w:t xml:space="preserve"> </w:t>
      </w:r>
      <w:r>
        <w:t xml:space="preserve">E o achado mais relevante é o que não foi encontrado: nenhum estudo de câncer ou DPOC. A controvérsia sobre o risco real só se resolve com estudos longitudinais que ainda não existem.</w:t>
      </w:r>
    </w:p>
    <w:bookmarkEnd w:id="35"/>
    <w:bookmarkStart w:id="36" w:name="X21a5f92210561f29b2eb3c290dbfdf5196a4617"/>
    <w:p>
      <w:pPr>
        <w:pStyle w:val="Heading3"/>
      </w:pPr>
      <w:r>
        <w:t xml:space="preserve">Slide 15 — DISCUSSÃO: Pontos fortes e limitações</w:t>
      </w:r>
    </w:p>
    <w:p>
      <w:pPr>
        <w:pStyle w:val="FirstParagraph"/>
      </w:pPr>
      <w:r>
        <w:t xml:space="preserve">[7:50–8:15] PONTOS FORTES E LIMITAÇÕES (~25 s)</w:t>
      </w:r>
      <w:r>
        <w:t xml:space="preserve"> </w:t>
      </w:r>
      <w:r>
        <w:t xml:space="preserve">Como pontos fortes: busca ampla e sem filtro de idioma, protocolo registrado, risco de viés padronizado, síntese com intervalo de predição e três modelos concordantes, GRADE por desfecho e tudo reprodutível no OSF.</w:t>
      </w:r>
      <w:r>
        <w:t xml:space="preserve"> </w:t>
      </w:r>
      <w:r>
        <w:t xml:space="preserve">As limitações estão todas declaradas. As principais: os estudos são transversais, com exposição por ocupação e sintomas autorrelatados, e o respondente sabia que o questionário era sobre fumaça; não há grupo não exposto nos agrupamentos, então não estimamos o excesso atribuível; existe o efeito do trabalhador sadio, que subestima a prevalência; a heterogeneidade é alta; e a triagem, a extração e o risco de viés foram feitos por um único revisor, sem duplicata.</w:t>
      </w:r>
    </w:p>
    <w:p>
      <w:pPr>
        <w:pStyle w:val="BodyText"/>
      </w:pPr>
      <w:r>
        <w:t xml:space="preserve">ATITUDE: fale as limitações com segurança. Banca valoriza quem conhece as fraquezas do próprio trabalho mais do que quem as esconde.</w:t>
      </w:r>
    </w:p>
    <w:bookmarkEnd w:id="36"/>
    <w:bookmarkStart w:id="37" w:name="X0a7b52adc8e6b992a5b132e75c40751835eee7b"/>
    <w:p>
      <w:pPr>
        <w:pStyle w:val="Heading3"/>
      </w:pPr>
      <w:r>
        <w:t xml:space="preserve">Slide 16 — CONCLUSÃO: Síntese da mensagem da revisão</w:t>
      </w:r>
    </w:p>
    <w:p>
      <w:pPr>
        <w:pStyle w:val="FirstParagraph"/>
      </w:pPr>
      <w:r>
        <w:t xml:space="preserve">[8:15–8:40] CONCLUSÃO (~25 s)</w:t>
      </w:r>
      <w:r>
        <w:t xml:space="preserve"> </w:t>
      </w:r>
      <w:r>
        <w:t xml:space="preserve">Concluindo. O que se sabe: sintomas oculares e respiratórios são frequentes na equipe exposta, com grande variação entre contextos, e os desfechos objetivos sinalizam alterações além do incômodo agudo. O que não se sabe: não há evidência direta de câncer ou DPOC atribuíveis à fumaça, a certeza é muito baixa e as coexposições limitam a atribuição causal.</w:t>
      </w:r>
      <w:r>
        <w:t xml:space="preserve"> </w:t>
      </w:r>
      <w:r>
        <w:t xml:space="preserve">A implicação prática é clara: pelo princípio da precaução e pela carga de sintomas, a exaustão local na fonte, os respiradores N95 e a educação da equipe se justificam hoje. E medir o risco de longo prazo é tarefa de estudos longitudinais.</w:t>
      </w:r>
    </w:p>
    <w:bookmarkEnd w:id="37"/>
    <w:bookmarkStart w:id="38" w:name="X4a21322c55480c2a9d59b5720ac98adfe1beb48"/>
    <w:p>
      <w:pPr>
        <w:pStyle w:val="Heading3"/>
      </w:pPr>
      <w:r>
        <w:t xml:space="preserve">Slide 17 — PERSPECTIVAS FUTURAS: Agenda de pesquisa e próximos passos deste trabalho</w:t>
      </w:r>
    </w:p>
    <w:p>
      <w:pPr>
        <w:pStyle w:val="FirstParagraph"/>
      </w:pPr>
      <w:r>
        <w:t xml:space="preserve">[8:40–8:55] PERSPECTIVAS FUTURAS (~15 s)</w:t>
      </w:r>
      <w:r>
        <w:t xml:space="preserve"> </w:t>
      </w:r>
      <w:r>
        <w:t xml:space="preserve">Para o campo, a agenda é clara: coortes com medição objetiva da exposição e controle de coexposições, definições padronizadas de sintoma, desfechos crônicos como câncer e DPOC, e estudos de efetividade da exaustão e das máscaras.</w:t>
      </w:r>
      <w:r>
        <w:t xml:space="preserve"> </w:t>
      </w:r>
      <w:r>
        <w:t xml:space="preserve">Para este trabalho: submeter o manuscrito, atualizar a busca, replicar a triagem em duplicata e levar uma proposta de proteção para o nosso centro cirúrgico.</w:t>
      </w:r>
    </w:p>
    <w:bookmarkEnd w:id="38"/>
    <w:bookmarkStart w:id="39" w:name="X4431dff477e18a1f7dc3fb8db75e1615da66708"/>
    <w:p>
      <w:pPr>
        <w:pStyle w:val="Heading3"/>
      </w:pPr>
      <w:r>
        <w:t xml:space="preserve">Slide 18 — REFERÊNCIAS BIBLIOGRÁFICAS: Principais referências metodológicas e dos estudos incluídos (lista completa no manuscrito)</w:t>
      </w:r>
    </w:p>
    <w:p>
      <w:pPr>
        <w:pStyle w:val="FirstParagraph"/>
      </w:pPr>
      <w:r>
        <w:t xml:space="preserve">[8:55–9:00] REFERÊNCIAS (~5 s)</w:t>
      </w:r>
      <w:r>
        <w:t xml:space="preserve"> </w:t>
      </w:r>
      <w:r>
        <w:t xml:space="preserve">Estas são as principais referências metodológicas e dos estudos incluídos; a lista completa, com mais de 60 itens, está no manuscrito. (Não leia; apenas mencione e avance.)</w:t>
      </w:r>
    </w:p>
    <w:bookmarkEnd w:id="39"/>
    <w:bookmarkStart w:id="40" w:name="slide-19-agradecimentos"/>
    <w:p>
      <w:pPr>
        <w:pStyle w:val="Heading3"/>
      </w:pPr>
      <w:r>
        <w:t xml:space="preserve">Slide 19 — AGRADECIMENTOS</w:t>
      </w:r>
    </w:p>
    <w:p>
      <w:pPr>
        <w:pStyle w:val="FirstParagraph"/>
      </w:pPr>
      <w:r>
        <w:t xml:space="preserve">[9:00–9:10] AGRADECIMENTOS (~10 s)</w:t>
      </w:r>
      <w:r>
        <w:t xml:space="preserve"> </w:t>
      </w:r>
      <w:r>
        <w:t xml:space="preserve">Agradeço à Profa. Lisie pela orientação, ao Luiz Henrique e à Dra. Mariana pela revisão crítica, e à Faculdade São Leopoldo Mandic e ao PIC pelo apoio. O protocolo está no PROSPERO e todo o código e as planilhas estão abertos no OSF. Obrigado. Estou à disposição para perguntas.</w:t>
      </w:r>
    </w:p>
    <w:bookmarkEnd w:id="40"/>
    <w:bookmarkStart w:id="41" w:name="slide-20-encerramento"/>
    <w:p>
      <w:pPr>
        <w:pStyle w:val="Heading3"/>
      </w:pPr>
      <w:r>
        <w:t xml:space="preserve">Slide 20 — Encerramento</w:t>
      </w:r>
    </w:p>
    <w:p>
      <w:pPr>
        <w:pStyle w:val="FirstParagraph"/>
      </w:pPr>
      <w:r>
        <w:t xml:space="preserve">ENCERRAMENTO</w:t>
      </w:r>
      <w:r>
        <w:t xml:space="preserve"> </w:t>
      </w:r>
      <w:r>
        <w:t xml:space="preserve">Deixe este slide na tela durante as perguntas. Respire, ouça a pergunta inteira, repita-a em uma frase (</w:t>
      </w:r>
      <w:r>
        <w:t xml:space="preserve">“</w:t>
      </w:r>
      <w:r>
        <w:t xml:space="preserve">a pergunta é sobre…</w:t>
      </w:r>
      <w:r>
        <w:t xml:space="preserve">”</w:t>
      </w:r>
      <w:r>
        <w:t xml:space="preserve">) e responda em no máximo 30–40 segundos. Se não souber, diga o que o estudo permite afirmar e o que seria necessário para responder.</w:t>
      </w:r>
    </w:p>
    <w:bookmarkEnd w:id="41"/>
    <w:bookmarkEnd w:id="42"/>
    <w:bookmarkStart w:id="64" w:name="Xef81a0fe76f64ef78df8ad2984e7d74dad1ea22"/>
    <w:p>
      <w:pPr>
        <w:pStyle w:val="Heading2"/>
      </w:pPr>
      <w:r>
        <w:t xml:space="preserve">Parte 2 — Passos 1 a 3: pergunta, protocolo, elegibilidade, busca e seleção</w:t>
      </w:r>
    </w:p>
    <w:p>
      <w:pPr>
        <w:pStyle w:val="FirstParagraph"/>
      </w:pPr>
      <w:r>
        <w:t xml:space="preserve">Esta seção cobre tudo o que acontece</w:t>
      </w:r>
      <w:r>
        <w:t xml:space="preserve"> </w:t>
      </w:r>
      <w:r>
        <w:rPr>
          <w:bCs/>
          <w:b/>
        </w:rPr>
        <w:t xml:space="preserve">antes</w:t>
      </w:r>
      <w:r>
        <w:t xml:space="preserve"> </w:t>
      </w:r>
      <w:r>
        <w:t xml:space="preserve">de qualquer número ser combinado: como a pergunta foi montada, onde o protocolo foi registrado, quem entrou e quem ficou de fora, como a busca foi desenhada e como os 16.757 registros viraram 22 relatórios incluídos. Na banca do SEMICA, é aqui que surgem as perguntas</w:t>
      </w:r>
      <w:r>
        <w:t xml:space="preserve"> </w:t>
      </w:r>
      <w:r>
        <w:t xml:space="preserve">“</w:t>
      </w:r>
      <w:r>
        <w:t xml:space="preserve">de rigor</w:t>
      </w:r>
      <w:r>
        <w:t xml:space="preserve">”</w:t>
      </w:r>
      <w:r>
        <w:t xml:space="preserve"> </w:t>
      </w:r>
      <w:r>
        <w:t xml:space="preserve">(revisor único, filtro de idioma, estudo não recuperado, sobreposição). Se você dominar esta parte, transmite controle sobre o trabalho inteiro.</w:t>
      </w:r>
    </w:p>
    <w:p>
      <w:pPr>
        <w:pStyle w:val="BodyText"/>
      </w:pPr>
      <w:r>
        <w:rPr>
          <w:bCs/>
          <w:b/>
        </w:rPr>
        <w:t xml:space="preserve">Convenção usada abaixo:</w:t>
      </w:r>
      <w:r>
        <w:t xml:space="preserve"> </w:t>
      </w:r>
      <w:r>
        <w:t xml:space="preserve">tudo o que não está marcado vem do seu manuscrito. O que estiver marcado como</w:t>
      </w:r>
      <w:r>
        <w:t xml:space="preserve"> </w:t>
      </w:r>
      <w:r>
        <w:rPr>
          <w:bCs/>
          <w:b/>
        </w:rPr>
        <w:t xml:space="preserve">(conhecimento geral)</w:t>
      </w:r>
      <w:r>
        <w:t xml:space="preserve"> </w:t>
      </w:r>
      <w:r>
        <w:t xml:space="preserve">é fundo metodológico que não está escrito no texto, mas que você pode usar para explicar.</w:t>
      </w:r>
    </w:p>
    <w:p>
      <w:r>
        <w:pict>
          <v:rect style="width:0;height:1.5pt" o:hralign="center" o:hrstd="t" o:hr="t"/>
        </w:pict>
      </w:r>
    </w:p>
    <w:bookmarkStart w:id="47" w:name="passo-1-pergunta-de-pesquisa-e-protocolo"/>
    <w:p>
      <w:pPr>
        <w:pStyle w:val="Heading3"/>
      </w:pPr>
      <w:r>
        <w:t xml:space="preserve">Passo 1 — Pergunta de pesquisa e protocolo</w:t>
      </w:r>
    </w:p>
    <w:bookmarkStart w:id="43" w:name="X32ce2630a6398ca970958d10ccc093b0eaa0dd4"/>
    <w:p>
      <w:pPr>
        <w:pStyle w:val="Heading4"/>
      </w:pPr>
      <w:r>
        <w:t xml:space="preserve">1.1 A pergunta: PECO e CoCoPop (e por que dois esquemas)</w:t>
      </w:r>
    </w:p>
    <w:p>
      <w:pPr>
        <w:pStyle w:val="FirstParagraph"/>
      </w:pPr>
      <w:r>
        <w:rPr>
          <w:bCs/>
          <w:b/>
        </w:rPr>
        <w:t xml:space="preserve">(conhecimento geral)</w:t>
      </w:r>
      <w:r>
        <w:t xml:space="preserve"> </w:t>
      </w:r>
      <w:r>
        <w:t xml:space="preserve">PECO é a adaptação do PICO para perguntas de</w:t>
      </w:r>
      <w:r>
        <w:t xml:space="preserve"> </w:t>
      </w:r>
      <w:r>
        <w:rPr>
          <w:bCs/>
          <w:b/>
        </w:rPr>
        <w:t xml:space="preserve">exposição</w:t>
      </w:r>
      <w:r>
        <w:t xml:space="preserve"> </w:t>
      </w:r>
      <w:r>
        <w:t xml:space="preserve">(etiologia, risco ocupacional): em vez de</w:t>
      </w:r>
      <w:r>
        <w:t xml:space="preserve"> </w:t>
      </w:r>
      <w:r>
        <w:t xml:space="preserve">“</w:t>
      </w:r>
      <w:r>
        <w:t xml:space="preserve">Intervenção</w:t>
      </w:r>
      <w:r>
        <w:t xml:space="preserve">”</w:t>
      </w:r>
      <w:r>
        <w:t xml:space="preserve">, entra</w:t>
      </w:r>
      <w:r>
        <w:t xml:space="preserve"> </w:t>
      </w:r>
      <w:r>
        <w:t xml:space="preserve">“</w:t>
      </w:r>
      <w:r>
        <w:t xml:space="preserve">Exposição</w:t>
      </w:r>
      <w:r>
        <w:t xml:space="preserve">”</w:t>
      </w:r>
      <w:r>
        <w:t xml:space="preserve">, porque ninguém é randomizado a respirar fumaça. Já o</w:t>
      </w:r>
      <w:r>
        <w:t xml:space="preserve"> </w:t>
      </w:r>
      <w:r>
        <w:rPr>
          <w:bCs/>
          <w:b/>
        </w:rPr>
        <w:t xml:space="preserve">CoCoPop</w:t>
      </w:r>
      <w:r>
        <w:t xml:space="preserve"> </w:t>
      </w:r>
      <w:r>
        <w:t xml:space="preserve">(Condição, Contexto, População) é o esquema que o Joanna Briggs Institute recomenda para revisões de</w:t>
      </w:r>
      <w:r>
        <w:t xml:space="preserve"> </w:t>
      </w:r>
      <w:r>
        <w:rPr>
          <w:bCs/>
          <w:b/>
        </w:rPr>
        <w:t xml:space="preserve">prevalência e incidência</w:t>
      </w:r>
      <w:r>
        <w:t xml:space="preserve"> </w:t>
      </w:r>
      <w:r>
        <w:t xml:space="preserve">(Munn et al., 2015). Ele não tem</w:t>
      </w:r>
      <w:r>
        <w:t xml:space="preserve"> </w:t>
      </w:r>
      <w:r>
        <w:t xml:space="preserve">“</w:t>
      </w:r>
      <w:r>
        <w:t xml:space="preserve">comparador</w:t>
      </w:r>
      <w:r>
        <w:t xml:space="preserve">”</w:t>
      </w:r>
      <w:r>
        <w:t xml:space="preserve"> </w:t>
      </w:r>
      <w:r>
        <w:t xml:space="preserve">de propósito: uma pergunta de frequência (</w:t>
      </w:r>
      <w:r>
        <w:t xml:space="preserve">“</w:t>
      </w:r>
      <w:r>
        <w:t xml:space="preserve">quantos têm o sintoma?</w:t>
      </w:r>
      <w:r>
        <w:t xml:space="preserve">”</w:t>
      </w:r>
      <w:r>
        <w:t xml:space="preserve">) não compara grupos, só conta.</w:t>
      </w:r>
    </w:p>
    <w:p>
      <w:pPr>
        <w:pStyle w:val="BodyText"/>
      </w:pPr>
      <w:r>
        <w:rPr>
          <w:bCs/>
          <w:b/>
        </w:rPr>
        <w:t xml:space="preserve">Deste trabalho</w:t>
      </w:r>
      <w:r>
        <w:t xml:space="preserve">, o PECO ficou assim: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Letra</w:t>
            </w:r>
          </w:p>
        </w:tc>
        <w:tc>
          <w:tcPr/>
          <w:p>
            <w:pPr>
              <w:pStyle w:val="Compact"/>
              <w:jc w:val="left"/>
            </w:pPr>
            <w:r>
              <w:t xml:space="preserve">Conteúdo</w:t>
            </w:r>
          </w:p>
        </w:tc>
      </w:tr>
      <w:tr>
        <w:tc>
          <w:tcPr/>
          <w:p>
            <w:pPr>
              <w:pStyle w:val="Compact"/>
              <w:jc w:val="left"/>
            </w:pPr>
            <w:r>
              <w:rPr>
                <w:bCs/>
                <w:b/>
              </w:rPr>
              <w:t xml:space="preserve">P</w:t>
            </w:r>
            <w:r>
              <w:t xml:space="preserve"> </w:t>
            </w:r>
            <w:r>
              <w:t xml:space="preserve">(População)</w:t>
            </w:r>
          </w:p>
        </w:tc>
        <w:tc>
          <w:tcPr/>
          <w:p>
            <w:pPr>
              <w:pStyle w:val="Compact"/>
              <w:jc w:val="left"/>
            </w:pPr>
            <w:r>
              <w:t xml:space="preserve">Equipe de centro cirúrgico: cirurgiões, residentes, profissionais de enfermagem perioperatória, instrumentadores e profissionais de anestesia</w:t>
            </w:r>
          </w:p>
        </w:tc>
      </w:tr>
      <w:tr>
        <w:tc>
          <w:tcPr/>
          <w:p>
            <w:pPr>
              <w:pStyle w:val="Compact"/>
              <w:jc w:val="left"/>
            </w:pPr>
            <w:r>
              <w:rPr>
                <w:bCs/>
                <w:b/>
              </w:rPr>
              <w:t xml:space="preserve">E</w:t>
            </w:r>
            <w:r>
              <w:t xml:space="preserve"> </w:t>
            </w:r>
            <w:r>
              <w:t xml:space="preserve">(Exposição)</w:t>
            </w:r>
          </w:p>
        </w:tc>
        <w:tc>
          <w:tcPr/>
          <w:p>
            <w:pPr>
              <w:pStyle w:val="Compact"/>
              <w:jc w:val="left"/>
            </w:pPr>
            <w:r>
              <w:t xml:space="preserve">Exposição ocupacional à fumaça cirúrgica gerada por dispositivos de energia (eletrocautério, laser e bisturi ultrassônico)</w:t>
            </w:r>
          </w:p>
        </w:tc>
      </w:tr>
      <w:tr>
        <w:tc>
          <w:tcPr/>
          <w:p>
            <w:pPr>
              <w:pStyle w:val="Compact"/>
              <w:jc w:val="left"/>
            </w:pPr>
            <w:r>
              <w:rPr>
                <w:bCs/>
                <w:b/>
              </w:rPr>
              <w:t xml:space="preserve">C</w:t>
            </w:r>
            <w:r>
              <w:t xml:space="preserve"> </w:t>
            </w:r>
            <w:r>
              <w:t xml:space="preserve">(Comparador)</w:t>
            </w:r>
          </w:p>
        </w:tc>
        <w:tc>
          <w:tcPr/>
          <w:p>
            <w:pPr>
              <w:pStyle w:val="Compact"/>
              <w:jc w:val="left"/>
            </w:pPr>
            <w:r>
              <w:t xml:space="preserve">Não expostos, minimamente expostos ou com medidas de proteção</w:t>
            </w:r>
          </w:p>
        </w:tc>
      </w:tr>
      <w:tr>
        <w:tc>
          <w:tcPr/>
          <w:p>
            <w:pPr>
              <w:pStyle w:val="Compact"/>
              <w:jc w:val="left"/>
            </w:pPr>
            <w:r>
              <w:rPr>
                <w:bCs/>
                <w:b/>
              </w:rPr>
              <w:t xml:space="preserve">O</w:t>
            </w:r>
            <w:r>
              <w:t xml:space="preserve"> </w:t>
            </w:r>
            <w:r>
              <w:t xml:space="preserve">(Outcome/desfecho)</w:t>
            </w:r>
          </w:p>
        </w:tc>
        <w:tc>
          <w:tcPr/>
          <w:p>
            <w:pPr>
              <w:pStyle w:val="Compact"/>
              <w:jc w:val="left"/>
            </w:pPr>
            <w:r>
              <w:t xml:space="preserve">Efeitos à saúde relacionados à exposição</w:t>
            </w:r>
          </w:p>
        </w:tc>
      </w:tr>
    </w:tbl>
    <w:p>
      <w:pPr>
        <w:pStyle w:val="BodyText"/>
      </w:pPr>
      <w:r>
        <w:t xml:space="preserve">E o CoCoPop ficou assim: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Conteúdo</w:t>
            </w:r>
          </w:p>
        </w:tc>
      </w:tr>
      <w:tr>
        <w:tc>
          <w:tcPr/>
          <w:p>
            <w:pPr>
              <w:pStyle w:val="Compact"/>
              <w:jc w:val="left"/>
            </w:pPr>
            <w:r>
              <w:rPr>
                <w:bCs/>
                <w:b/>
              </w:rPr>
              <w:t xml:space="preserve">Condição</w:t>
            </w:r>
          </w:p>
        </w:tc>
        <w:tc>
          <w:tcPr/>
          <w:p>
            <w:pPr>
              <w:pStyle w:val="Compact"/>
              <w:jc w:val="left"/>
            </w:pPr>
            <w:r>
              <w:t xml:space="preserve">Sintomas oculares e respiratórios autorrelatados relacionados à exposição</w:t>
            </w:r>
          </w:p>
        </w:tc>
      </w:tr>
      <w:tr>
        <w:tc>
          <w:tcPr/>
          <w:p>
            <w:pPr>
              <w:pStyle w:val="Compact"/>
              <w:jc w:val="left"/>
            </w:pPr>
            <w:r>
              <w:rPr>
                <w:bCs/>
                <w:b/>
              </w:rPr>
              <w:t xml:space="preserve">Contexto</w:t>
            </w:r>
          </w:p>
        </w:tc>
        <w:tc>
          <w:tcPr/>
          <w:p>
            <w:pPr>
              <w:pStyle w:val="Compact"/>
              <w:jc w:val="left"/>
            </w:pPr>
            <w:r>
              <w:t xml:space="preserve">Centro cirúrgico com uso de dispositivos de energia</w:t>
            </w:r>
          </w:p>
        </w:tc>
      </w:tr>
      <w:tr>
        <w:tc>
          <w:tcPr/>
          <w:p>
            <w:pPr>
              <w:pStyle w:val="Compact"/>
              <w:jc w:val="left"/>
            </w:pPr>
            <w:r>
              <w:rPr>
                <w:bCs/>
                <w:b/>
              </w:rPr>
              <w:t xml:space="preserve">População</w:t>
            </w:r>
          </w:p>
        </w:tc>
        <w:tc>
          <w:tcPr/>
          <w:p>
            <w:pPr>
              <w:pStyle w:val="Compact"/>
              <w:jc w:val="left"/>
            </w:pPr>
            <w:r>
              <w:t xml:space="preserve">Equipe de centro cirúrgico</w:t>
            </w:r>
          </w:p>
        </w:tc>
      </w:tr>
    </w:tbl>
    <w:p>
      <w:pPr>
        <w:pStyle w:val="BodyText"/>
      </w:pPr>
      <w:r>
        <w:rPr>
          <w:bCs/>
          <w:b/>
        </w:rPr>
        <w:t xml:space="preserve">Por que dois esquemas?</w:t>
      </w:r>
      <w:r>
        <w:t xml:space="preserve"> </w:t>
      </w:r>
      <w:r>
        <w:t xml:space="preserve">Porque a revisão fez uma</w:t>
      </w:r>
      <w:r>
        <w:t xml:space="preserve"> </w:t>
      </w:r>
      <w:r>
        <w:rPr>
          <w:bCs/>
          <w:b/>
        </w:rPr>
        <w:t xml:space="preserve">síntese em camadas</w:t>
      </w:r>
      <w:r>
        <w:t xml:space="preserve">, decisão explicada já na Introdução: como quase não há estudos longitudinais com desfechos crônicos, você (a) quantificou por metanálise a prevalência de sintomas e (b) sintetizou de forma narrativa, com GRADE, os desfechos objetivos e biomarcadores. O PECO orientou a</w:t>
      </w:r>
      <w:r>
        <w:t xml:space="preserve"> </w:t>
      </w:r>
      <w:r>
        <w:rPr>
          <w:bCs/>
          <w:b/>
        </w:rPr>
        <w:t xml:space="preserve">busca</w:t>
      </w:r>
      <w:r>
        <w:t xml:space="preserve"> </w:t>
      </w:r>
      <w:r>
        <w:t xml:space="preserve">e a síntese dos</w:t>
      </w:r>
      <w:r>
        <w:t xml:space="preserve"> </w:t>
      </w:r>
      <w:r>
        <w:rPr>
          <w:bCs/>
          <w:b/>
        </w:rPr>
        <w:t xml:space="preserve">desfechos objetivos comparativos</w:t>
      </w:r>
      <w:r>
        <w:t xml:space="preserve"> </w:t>
      </w:r>
      <w:r>
        <w:t xml:space="preserve">(função pulmonar, biomarcadores urinários, mucosa nasal, HPV); o CoCoPop orientou a síntese dos</w:t>
      </w:r>
      <w:r>
        <w:t xml:space="preserve"> </w:t>
      </w:r>
      <w:r>
        <w:rPr>
          <w:bCs/>
          <w:b/>
        </w:rPr>
        <w:t xml:space="preserve">dados de prevalência</w:t>
      </w:r>
      <w:r>
        <w:t xml:space="preserve">. Cada camada responde a uma pergunta diferente, e cada pergunta tem o esquema certo.</w:t>
      </w:r>
    </w:p>
    <w:p>
      <w:pPr>
        <w:pStyle w:val="BodyText"/>
      </w:pPr>
      <w:r>
        <w:t xml:space="preserve">Isso tem uma consequência que você precisa dizer com segurança: a metanálise de proporções</w:t>
      </w:r>
      <w:r>
        <w:t xml:space="preserve"> </w:t>
      </w:r>
      <w:r>
        <w:rPr>
          <w:bCs/>
          <w:b/>
        </w:rPr>
        <w:t xml:space="preserve">estima a frequência de sintomas em populações expostas, não o efeito causal da fumaça</w:t>
      </w:r>
      <w:r>
        <w:t xml:space="preserve">. A inferência causal depende dos estudos comparativos. Está escrito no Resumo, na Introdução e nas Limitações.</w:t>
      </w:r>
    </w:p>
    <w:p>
      <w:pPr>
        <w:pStyle w:val="BlockText"/>
      </w:pPr>
      <w:r>
        <w:rPr>
          <w:bCs/>
          <w:b/>
        </w:rPr>
        <w:t xml:space="preserve">O que dizer se perguntarem (</w:t>
      </w:r>
      <w:r>
        <w:rPr>
          <w:bCs/>
          <w:b/>
        </w:rPr>
        <w:t xml:space="preserve">“</w:t>
      </w:r>
      <w:r>
        <w:rPr>
          <w:bCs/>
          <w:b/>
        </w:rPr>
        <w:t xml:space="preserve">por que PECO e CoCoPop ao mesmo tempo?</w:t>
      </w:r>
      <w:r>
        <w:rPr>
          <w:bCs/>
          <w:b/>
        </w:rPr>
        <w:t xml:space="preserve">”</w:t>
      </w:r>
      <w:r>
        <w:rPr>
          <w:bCs/>
          <w:b/>
        </w:rPr>
        <w:t xml:space="preserve">):</w:t>
      </w:r>
      <w:r>
        <w:t xml:space="preserve"> </w:t>
      </w:r>
      <w:r>
        <w:t xml:space="preserve">“</w:t>
      </w:r>
      <w:r>
        <w:t xml:space="preserve">Porque a revisão tem duas camadas com perguntas diferentes. A pergunta comparativa, de efeito, segue o PECO; a pergunta de frequência, de prevalência, segue o CoCoPop, que é o esquema do JBI para esse tipo de revisão e não tem comparador por definição. Os dois esquemas convivem porque a metanálise estima prevalência em expostos, e não efeito causal.</w:t>
      </w:r>
      <w:r>
        <w:t xml:space="preserve">”</w:t>
      </w:r>
    </w:p>
    <w:bookmarkEnd w:id="43"/>
    <w:bookmarkStart w:id="44" w:name="Xa36a770a276796c6266b8f43bcda0053edd1de2"/>
    <w:p>
      <w:pPr>
        <w:pStyle w:val="Heading4"/>
      </w:pPr>
      <w:r>
        <w:t xml:space="preserve">1.2 PRISMA 2020 e Diretrizes Metodológicas do Ministério da Saúde</w:t>
      </w:r>
    </w:p>
    <w:p>
      <w:pPr>
        <w:pStyle w:val="FirstParagraph"/>
      </w:pPr>
      <w:r>
        <w:rPr>
          <w:bCs/>
          <w:b/>
        </w:rPr>
        <w:t xml:space="preserve">(conhecimento geral)</w:t>
      </w:r>
      <w:r>
        <w:t xml:space="preserve"> </w:t>
      </w:r>
      <w:r>
        <w:t xml:space="preserve">PRISMA é um guia de</w:t>
      </w:r>
      <w:r>
        <w:t xml:space="preserve"> </w:t>
      </w:r>
      <w:r>
        <w:rPr>
          <w:bCs/>
          <w:b/>
        </w:rPr>
        <w:t xml:space="preserve">relato</w:t>
      </w:r>
      <w:r>
        <w:t xml:space="preserve">, não de condução: ele diz o que precisa constar no texto (27 itens), não como fazer a revisão. Quem diz</w:t>
      </w:r>
      <w:r>
        <w:t xml:space="preserve"> </w:t>
      </w:r>
      <w:r>
        <w:t xml:space="preserve">“</w:t>
      </w:r>
      <w:r>
        <w:t xml:space="preserve">como fazer</w:t>
      </w:r>
      <w:r>
        <w:t xml:space="preserve">”</w:t>
      </w:r>
      <w:r>
        <w:t xml:space="preserve"> </w:t>
      </w:r>
      <w:r>
        <w:t xml:space="preserve">são manuais metodológicos (JBI, Cochrane, Ministério da Saúde).</w:t>
      </w:r>
    </w:p>
    <w:p>
      <w:pPr>
        <w:pStyle w:val="BodyText"/>
      </w:pPr>
      <w:r>
        <w:rPr>
          <w:bCs/>
          <w:b/>
        </w:rPr>
        <w:t xml:space="preserve">Deste trabalho:</w:t>
      </w:r>
      <w:r>
        <w:t xml:space="preserve"> </w:t>
      </w:r>
      <w:r>
        <w:t xml:space="preserve">a revisão foi elaborada e relatada conforme o</w:t>
      </w:r>
      <w:r>
        <w:t xml:space="preserve"> </w:t>
      </w:r>
      <w:r>
        <w:rPr>
          <w:bCs/>
          <w:b/>
        </w:rPr>
        <w:t xml:space="preserve">PRISMA 2020</w:t>
      </w:r>
      <w:r>
        <w:t xml:space="preserve"> </w:t>
      </w:r>
      <w:r>
        <w:t xml:space="preserve">(Page et al., 2021). O checklist preenchido com os 27 itens está no</w:t>
      </w:r>
      <w:r>
        <w:t xml:space="preserve"> </w:t>
      </w:r>
      <w:r>
        <w:rPr>
          <w:bCs/>
          <w:b/>
        </w:rPr>
        <w:t xml:space="preserve">Anexo H</w:t>
      </w:r>
      <w:r>
        <w:t xml:space="preserve">, que aponta onde cada item aparece (por exemplo: item 7, estratégia de busca completa, está no Anexo A; item 24, registro e protocolo, é o PROSPERO; item 27, disponibilidade de dados e código, está nas Declarações e nos Anexos). Para a condução, o trabalho seguiu as</w:t>
      </w:r>
      <w:r>
        <w:t xml:space="preserve"> </w:t>
      </w:r>
      <w:r>
        <w:rPr>
          <w:bCs/>
          <w:b/>
        </w:rPr>
        <w:t xml:space="preserve">Diretrizes Metodológicas do Ministério da Saúde</w:t>
      </w:r>
      <w:r>
        <w:t xml:space="preserve"> </w:t>
      </w:r>
      <w:r>
        <w:t xml:space="preserve">para revisão sistemática e metanálise de estudos observacionais (Brasil, 2014a) e, para a certeza da evidência, o manual GRADE do Ministério (Brasil, 2014b). Para o risco de viés, as ferramentas do JBI (Aromataris; Munn, 2020).</w:t>
      </w:r>
    </w:p>
    <w:p>
      <w:pPr>
        <w:pStyle w:val="BlockText"/>
      </w:pPr>
      <w:r>
        <w:rPr>
          <w:bCs/>
          <w:b/>
        </w:rPr>
        <w:t xml:space="preserve">O que dizer se perguntarem:</w:t>
      </w:r>
      <w:r>
        <w:t xml:space="preserve"> </w:t>
      </w:r>
      <w:r>
        <w:t xml:space="preserve">“</w:t>
      </w:r>
      <w:r>
        <w:t xml:space="preserve">O PRISMA 2020 orientou o relato, e o checklist dos 27 itens preenchido está no Anexo H. A condução seguiu as Diretrizes Metodológicas do Ministério da Saúde para estudos observacionais e as ferramentas do JBI.</w:t>
      </w:r>
      <w:r>
        <w:t xml:space="preserve">”</w:t>
      </w:r>
    </w:p>
    <w:bookmarkEnd w:id="44"/>
    <w:bookmarkStart w:id="45" w:name="X9335e2179a52a9700162c03e1a9e94850b99f34"/>
    <w:p>
      <w:pPr>
        <w:pStyle w:val="Heading4"/>
      </w:pPr>
      <w:r>
        <w:t xml:space="preserve">1.3 Registro PROSPERO: número, momento e função</w:t>
      </w:r>
    </w:p>
    <w:p>
      <w:pPr>
        <w:pStyle w:val="FirstParagraph"/>
      </w:pPr>
      <w:r>
        <w:rPr>
          <w:bCs/>
          <w:b/>
        </w:rPr>
        <w:t xml:space="preserve">Deste trabalho:</w:t>
      </w:r>
      <w:r>
        <w:t xml:space="preserve"> </w:t>
      </w:r>
      <w:r>
        <w:t xml:space="preserve">o protocolo foi registrado na base</w:t>
      </w:r>
      <w:r>
        <w:t xml:space="preserve"> </w:t>
      </w:r>
      <w:r>
        <w:rPr>
          <w:bCs/>
          <w:b/>
        </w:rPr>
        <w:t xml:space="preserve">PROSPERO</w:t>
      </w:r>
      <w:r>
        <w:t xml:space="preserve"> </w:t>
      </w:r>
      <w:r>
        <w:t xml:space="preserve">(International Prospective Register of Systematic Reviews) sob o número</w:t>
      </w:r>
      <w:r>
        <w:t xml:space="preserve"> </w:t>
      </w:r>
      <w:r>
        <w:rPr>
          <w:bCs/>
          <w:b/>
        </w:rPr>
        <w:t xml:space="preserve">CRD420251238727</w:t>
      </w:r>
      <w:r>
        <w:t xml:space="preserve">,</w:t>
      </w:r>
      <w:r>
        <w:t xml:space="preserve"> </w:t>
      </w:r>
      <w:r>
        <w:rPr>
          <w:bCs/>
          <w:b/>
        </w:rPr>
        <w:t xml:space="preserve">antes da etapa de extração de dados</w:t>
      </w:r>
      <w:r>
        <w:t xml:space="preserve">. O registro faz as vezes de protocolo e está publicamente acessível pelo número.</w:t>
      </w:r>
    </w:p>
    <w:p>
      <w:pPr>
        <w:pStyle w:val="BodyText"/>
      </w:pPr>
      <w:r>
        <w:rPr>
          <w:bCs/>
          <w:b/>
        </w:rPr>
        <w:t xml:space="preserve">(conhecimento geral)</w:t>
      </w:r>
      <w:r>
        <w:t xml:space="preserve"> </w:t>
      </w:r>
      <w:r>
        <w:t xml:space="preserve">Qual é a função do registro? Três: evitar duplicação de revisões sobre o mesmo tema, permitir que qualquer leitor compare</w:t>
      </w:r>
      <w:r>
        <w:t xml:space="preserve"> </w:t>
      </w:r>
      <w:r>
        <w:t xml:space="preserve">“</w:t>
      </w:r>
      <w:r>
        <w:t xml:space="preserve">o que foi planejado</w:t>
      </w:r>
      <w:r>
        <w:t xml:space="preserve">”</w:t>
      </w:r>
      <w:r>
        <w:t xml:space="preserve"> </w:t>
      </w:r>
      <w:r>
        <w:t xml:space="preserve">com</w:t>
      </w:r>
      <w:r>
        <w:t xml:space="preserve"> </w:t>
      </w:r>
      <w:r>
        <w:t xml:space="preserve">“</w:t>
      </w:r>
      <w:r>
        <w:t xml:space="preserve">o que foi feito</w:t>
      </w:r>
      <w:r>
        <w:t xml:space="preserve">”</w:t>
      </w:r>
      <w:r>
        <w:t xml:space="preserve"> </w:t>
      </w:r>
      <w:r>
        <w:t xml:space="preserve">e reduzir o relato seletivo (mudar o desfecho depois de ver os resultados). Por isso a banca pode perguntar o que mudou em relação ao protocolo, e o manuscrito tem uma seção inteira para isso.</w:t>
      </w:r>
    </w:p>
    <w:p>
      <w:pPr>
        <w:pStyle w:val="BodyText"/>
      </w:pPr>
      <w:r>
        <w:rPr>
          <w:bCs/>
          <w:b/>
        </w:rPr>
        <w:t xml:space="preserve">O que mudou depois do registro (seção</w:t>
      </w:r>
      <w:r>
        <w:rPr>
          <w:bCs/>
          <w:b/>
        </w:rPr>
        <w:t xml:space="preserve"> </w:t>
      </w:r>
      <w:r>
        <w:rPr>
          <w:bCs/>
          <w:b/>
        </w:rPr>
        <w:t xml:space="preserve">“</w:t>
      </w:r>
      <w:r>
        <w:rPr>
          <w:bCs/>
          <w:b/>
        </w:rPr>
        <w:t xml:space="preserve">Decisões posteriores ao registro</w:t>
      </w:r>
      <w:r>
        <w:rPr>
          <w:bCs/>
          <w:b/>
        </w:rPr>
        <w:t xml:space="preserve">”</w:t>
      </w:r>
      <w:r>
        <w:rPr>
          <w:bCs/>
          <w:b/>
        </w:rPr>
        <w:t xml:space="preserve">):</w:t>
      </w:r>
      <w:r>
        <w:t xml:space="preserve"> </w:t>
      </w:r>
      <w:r>
        <w:t xml:space="preserve">- população delimitada como equipe de centro cirúrgico, conforme o PECO;</w:t>
      </w:r>
      <w:r>
        <w:t xml:space="preserve"> </w:t>
      </w:r>
      <w:r>
        <w:t xml:space="preserve">- sintoma</w:t>
      </w:r>
      <w:r>
        <w:t xml:space="preserve"> </w:t>
      </w:r>
      <w:r>
        <w:rPr>
          <w:bCs/>
          <w:b/>
        </w:rPr>
        <w:t xml:space="preserve">ocular</w:t>
      </w:r>
      <w:r>
        <w:t xml:space="preserve"> </w:t>
      </w:r>
      <w:r>
        <w:t xml:space="preserve">adotado como desfecho</w:t>
      </w:r>
      <w:r>
        <w:t xml:space="preserve"> </w:t>
      </w:r>
      <w:r>
        <w:rPr>
          <w:bCs/>
          <w:b/>
        </w:rPr>
        <w:t xml:space="preserve">principal</w:t>
      </w:r>
      <w:r>
        <w:t xml:space="preserve"> </w:t>
      </w:r>
      <w:r>
        <w:t xml:space="preserve">da metanálise e sintoma</w:t>
      </w:r>
      <w:r>
        <w:t xml:space="preserve"> </w:t>
      </w:r>
      <w:r>
        <w:rPr>
          <w:bCs/>
          <w:b/>
        </w:rPr>
        <w:t xml:space="preserve">respiratório</w:t>
      </w:r>
      <w:r>
        <w:t xml:space="preserve"> </w:t>
      </w:r>
      <w:r>
        <w:t xml:space="preserve">como</w:t>
      </w:r>
      <w:r>
        <w:t xml:space="preserve"> </w:t>
      </w:r>
      <w:r>
        <w:rPr>
          <w:bCs/>
          <w:b/>
        </w:rPr>
        <w:t xml:space="preserve">exploratório</w:t>
      </w:r>
      <w:r>
        <w:t xml:space="preserve">, por causa da maior variação na definição do desfecho;</w:t>
      </w:r>
      <w:r>
        <w:t xml:space="preserve"> </w:t>
      </w:r>
      <w:r>
        <w:t xml:space="preserve">- modelo principal definido como efeitos aleatórios com transformação logito e ajuste de Hartung-Knapp;</w:t>
      </w:r>
      <w:r>
        <w:t xml:space="preserve"> </w:t>
      </w:r>
      <w:r>
        <w:t xml:space="preserve">- publicações sobrepostas de uma mesma população representadas por um único relatório por desfecho combinado;</w:t>
      </w:r>
      <w:r>
        <w:t xml:space="preserve"> </w:t>
      </w:r>
      <w:r>
        <w:t xml:space="preserve">- análises por país e de influência com caráter exploratório;</w:t>
      </w:r>
      <w:r>
        <w:t xml:space="preserve"> </w:t>
      </w:r>
      <w:r>
        <w:t xml:space="preserve">- resumos de congresso com dados numéricos suficientes admitidos, com preocupação alta com viés.</w:t>
      </w:r>
    </w:p>
    <w:p>
      <w:pPr>
        <w:pStyle w:val="BodyText"/>
      </w:pPr>
      <w:r>
        <w:t xml:space="preserve">Duas decisões foram tomadas</w:t>
      </w:r>
      <w:r>
        <w:t xml:space="preserve"> </w:t>
      </w:r>
      <w:r>
        <w:rPr>
          <w:bCs/>
          <w:b/>
        </w:rPr>
        <w:t xml:space="preserve">durante a análise</w:t>
      </w:r>
      <w:r>
        <w:t xml:space="preserve">: a regra do sintoma-índice (item 3.8 abaixo) e as análises de sensibilidade restritas a definições específicas do sintoma. O manuscrito deixa registrado que essas decisões foram tomadas</w:t>
      </w:r>
      <w:r>
        <w:t xml:space="preserve"> </w:t>
      </w:r>
      <w:r>
        <w:t xml:space="preserve">“</w:t>
      </w:r>
      <w:r>
        <w:t xml:space="preserve">de forma independente dos resultados de cada estudo individual</w:t>
      </w:r>
      <w:r>
        <w:t xml:space="preserve">”</w:t>
      </w:r>
      <w:r>
        <w:t xml:space="preserve">. Essa frase é a sua defesa contra a acusação de ajuste pós-hoc orientado pelo resultado.</w:t>
      </w:r>
    </w:p>
    <w:p>
      <w:pPr>
        <w:pStyle w:val="BlockText"/>
      </w:pPr>
      <w:r>
        <w:rPr>
          <w:bCs/>
          <w:b/>
        </w:rPr>
        <w:t xml:space="preserve">O que dizer se perguntarem (</w:t>
      </w:r>
      <w:r>
        <w:rPr>
          <w:bCs/>
          <w:b/>
        </w:rPr>
        <w:t xml:space="preserve">“</w:t>
      </w:r>
      <w:r>
        <w:rPr>
          <w:bCs/>
          <w:b/>
        </w:rPr>
        <w:t xml:space="preserve">houve desvio do protocolo?</w:t>
      </w:r>
      <w:r>
        <w:rPr>
          <w:bCs/>
          <w:b/>
        </w:rPr>
        <w:t xml:space="preserve">”</w:t>
      </w:r>
      <w:r>
        <w:rPr>
          <w:bCs/>
          <w:b/>
        </w:rPr>
        <w:t xml:space="preserve">):</w:t>
      </w:r>
      <w:r>
        <w:t xml:space="preserve"> </w:t>
      </w:r>
      <w:r>
        <w:t xml:space="preserve">“</w:t>
      </w:r>
      <w:r>
        <w:t xml:space="preserve">Sim, e todos estão listados na seção</w:t>
      </w:r>
      <w:r>
        <w:t xml:space="preserve"> </w:t>
      </w:r>
      <w:r>
        <w:t xml:space="preserve">‘</w:t>
      </w:r>
      <w:r>
        <w:t xml:space="preserve">Decisões posteriores ao registro</w:t>
      </w:r>
      <w:r>
        <w:t xml:space="preserve">’</w:t>
      </w:r>
      <w:r>
        <w:t xml:space="preserve">. As principais foram escolher o sintoma ocular como desfecho principal e o respiratório como exploratório, e fixar o modelo logito com Hartung-Knapp. Duas regras foram definidas durante a análise, a do sintoma-índice e a das sensibilidades por definição, e foram tomadas sem olhar o resultado de cada estudo.</w:t>
      </w:r>
      <w:r>
        <w:t xml:space="preserve">”</w:t>
      </w:r>
    </w:p>
    <w:bookmarkEnd w:id="45"/>
    <w:bookmarkStart w:id="46" w:name="dispensa-do-cep-e-resolução-5102016"/>
    <w:p>
      <w:pPr>
        <w:pStyle w:val="Heading4"/>
      </w:pPr>
      <w:r>
        <w:t xml:space="preserve">1.4 Dispensa do CEP e Resolução 510/2016</w:t>
      </w:r>
    </w:p>
    <w:p>
      <w:pPr>
        <w:pStyle w:val="FirstParagraph"/>
      </w:pPr>
      <w:r>
        <w:rPr>
          <w:bCs/>
          <w:b/>
        </w:rPr>
        <w:t xml:space="preserve">Deste trabalho:</w:t>
      </w:r>
      <w:r>
        <w:t xml:space="preserve"> </w:t>
      </w:r>
      <w:r>
        <w:t xml:space="preserve">por ser revisão de dados já publicados, sem envolvimento direto de seres humanos, o estudo foi</w:t>
      </w:r>
      <w:r>
        <w:t xml:space="preserve"> </w:t>
      </w:r>
      <w:r>
        <w:rPr>
          <w:bCs/>
          <w:b/>
        </w:rPr>
        <w:t xml:space="preserve">submetido</w:t>
      </w:r>
      <w:r>
        <w:t xml:space="preserve"> </w:t>
      </w:r>
      <w:r>
        <w:t xml:space="preserve">ao Comitê de Ética em Pesquisa, que concedeu</w:t>
      </w:r>
      <w:r>
        <w:t xml:space="preserve"> </w:t>
      </w:r>
      <w:r>
        <w:rPr>
          <w:bCs/>
          <w:b/>
        </w:rPr>
        <w:t xml:space="preserve">dispensa de apreciação ética</w:t>
      </w:r>
      <w:r>
        <w:t xml:space="preserve"> </w:t>
      </w:r>
      <w:r>
        <w:t xml:space="preserve">(protocolo nº</w:t>
      </w:r>
      <w:r>
        <w:t xml:space="preserve"> </w:t>
      </w:r>
      <w:r>
        <w:rPr>
          <w:bCs/>
          <w:b/>
        </w:rPr>
        <w:t xml:space="preserve">2025/0743</w:t>
      </w:r>
      <w:r>
        <w:t xml:space="preserve">). A base legal é a</w:t>
      </w:r>
      <w:r>
        <w:t xml:space="preserve"> </w:t>
      </w:r>
      <w:r>
        <w:rPr>
          <w:bCs/>
          <w:b/>
        </w:rPr>
        <w:t xml:space="preserve">Resolução nº 510, de 7 de abril de 2016, do Conselho Nacional de Saúde</w:t>
      </w:r>
      <w:r>
        <w:t xml:space="preserve">, artigo 1º, parágrafo único, inciso VI: não será registrada nem avaliada pelo sistema CEP/CONEP a pesquisa realizada</w:t>
      </w:r>
      <w:r>
        <w:t xml:space="preserve"> </w:t>
      </w:r>
      <w:r>
        <w:rPr>
          <w:bCs/>
          <w:b/>
        </w:rPr>
        <w:t xml:space="preserve">exclusivamente com textos científicos para revisão da literatura científica</w:t>
      </w:r>
      <w:r>
        <w:t xml:space="preserve">.</w:t>
      </w:r>
    </w:p>
    <w:p>
      <w:pPr>
        <w:pStyle w:val="BodyText"/>
      </w:pPr>
      <w:r>
        <w:t xml:space="preserve">Repare no detalhe: a resolução diz que esse tipo de pesquisa não precisa ser avaliado, mas o trabalho ainda assim foi submetido e recebeu um número de dispensa formal. Isso é um ponto a favor (há documento).</w:t>
      </w:r>
    </w:p>
    <w:p>
      <w:pPr>
        <w:pStyle w:val="BlockText"/>
      </w:pPr>
      <w:r>
        <w:rPr>
          <w:bCs/>
          <w:b/>
        </w:rPr>
        <w:t xml:space="preserve">O que dizer se perguntarem:</w:t>
      </w:r>
      <w:r>
        <w:t xml:space="preserve"> </w:t>
      </w:r>
      <w:r>
        <w:t xml:space="preserve">“</w:t>
      </w:r>
      <w:r>
        <w:t xml:space="preserve">A revisão usa exclusivamente textos científicos já publicados, situação que a Resolução CNS 510/2016, art. 1º, parágrafo único, inciso VI, exclui da avaliação pelo sistema CEP/CONEP. Mesmo assim, submetemos ao CEP, que emitiu a dispensa sob o protocolo 2025/0743.</w:t>
      </w:r>
      <w:r>
        <w:t xml:space="preserve">”</w:t>
      </w:r>
    </w:p>
    <w:p>
      <w:r>
        <w:pict>
          <v:rect style="width:0;height:1.5pt" o:hralign="center" o:hrstd="t" o:hr="t"/>
        </w:pict>
      </w:r>
    </w:p>
    <w:bookmarkEnd w:id="46"/>
    <w:bookmarkEnd w:id="47"/>
    <w:bookmarkStart w:id="52" w:name="passo-2-critérios-de-elegibilidade"/>
    <w:p>
      <w:pPr>
        <w:pStyle w:val="Heading3"/>
      </w:pPr>
      <w:r>
        <w:t xml:space="preserve">Passo 2 — Critérios de elegibilidade</w:t>
      </w:r>
    </w:p>
    <w:bookmarkStart w:id="48" w:name="quem-entrou-inclusão"/>
    <w:p>
      <w:pPr>
        <w:pStyle w:val="Heading4"/>
      </w:pPr>
      <w:r>
        <w:t xml:space="preserve">2.1 Quem entrou (inclusão)</w:t>
      </w:r>
    </w:p>
    <w:p>
      <w:pPr>
        <w:numPr>
          <w:ilvl w:val="0"/>
          <w:numId w:val="1002"/>
        </w:numPr>
        <w:pStyle w:val="Compact"/>
      </w:pPr>
      <w:r>
        <w:rPr>
          <w:bCs/>
          <w:b/>
        </w:rPr>
        <w:t xml:space="preserve">Desenho:</w:t>
      </w:r>
      <w:r>
        <w:t xml:space="preserve"> </w:t>
      </w:r>
      <w:r>
        <w:t xml:space="preserve">estudos observacionais</w:t>
      </w:r>
      <w:r>
        <w:t xml:space="preserve"> </w:t>
      </w:r>
      <w:r>
        <w:rPr>
          <w:bCs/>
          <w:b/>
        </w:rPr>
        <w:t xml:space="preserve">primários</w:t>
      </w:r>
      <w:r>
        <w:t xml:space="preserve">: transversais, caso-controle e coorte.</w:t>
      </w:r>
    </w:p>
    <w:p>
      <w:pPr>
        <w:numPr>
          <w:ilvl w:val="0"/>
          <w:numId w:val="1002"/>
        </w:numPr>
        <w:pStyle w:val="Compact"/>
      </w:pPr>
      <w:r>
        <w:rPr>
          <w:bCs/>
          <w:b/>
        </w:rPr>
        <w:t xml:space="preserve">População e exposição:</w:t>
      </w:r>
      <w:r>
        <w:t xml:space="preserve"> </w:t>
      </w:r>
      <w:r>
        <w:t xml:space="preserve">profissionais de centro cirúrgico expostos à fumaça cirúrgica.</w:t>
      </w:r>
    </w:p>
    <w:p>
      <w:pPr>
        <w:numPr>
          <w:ilvl w:val="0"/>
          <w:numId w:val="1002"/>
        </w:numPr>
        <w:pStyle w:val="Compact"/>
      </w:pPr>
      <w:r>
        <w:rPr>
          <w:bCs/>
          <w:b/>
        </w:rPr>
        <w:t xml:space="preserve">Desfecho:</w:t>
      </w:r>
      <w:r>
        <w:t xml:space="preserve"> </w:t>
      </w:r>
      <w:r>
        <w:t xml:space="preserve">efeitos à saúde</w:t>
      </w:r>
      <w:r>
        <w:t xml:space="preserve"> </w:t>
      </w:r>
      <w:r>
        <w:rPr>
          <w:bCs/>
          <w:b/>
        </w:rPr>
        <w:t xml:space="preserve">ou</w:t>
      </w:r>
      <w:r>
        <w:t xml:space="preserve"> </w:t>
      </w:r>
      <w:r>
        <w:t xml:space="preserve">marcadores de exposição (por isso biomarcadores urinários e HPV-DNA nasal entram).</w:t>
      </w:r>
    </w:p>
    <w:p>
      <w:pPr>
        <w:numPr>
          <w:ilvl w:val="0"/>
          <w:numId w:val="1002"/>
        </w:numPr>
        <w:pStyle w:val="Compact"/>
      </w:pPr>
      <w:r>
        <w:rPr>
          <w:bCs/>
          <w:b/>
        </w:rPr>
        <w:t xml:space="preserve">Idioma:</w:t>
      </w:r>
      <w:r>
        <w:t xml:space="preserve"> </w:t>
      </w:r>
      <w:r>
        <w:t xml:space="preserve">a busca foi feita</w:t>
      </w:r>
      <w:r>
        <w:t xml:space="preserve"> </w:t>
      </w:r>
      <w:r>
        <w:rPr>
          <w:bCs/>
          <w:b/>
        </w:rPr>
        <w:t xml:space="preserve">sem filtro de idioma</w:t>
      </w:r>
      <w:r>
        <w:t xml:space="preserve">; na elegibilidade, aceitaram-se estudos em</w:t>
      </w:r>
      <w:r>
        <w:t xml:space="preserve"> </w:t>
      </w:r>
      <w:r>
        <w:rPr>
          <w:bCs/>
          <w:b/>
        </w:rPr>
        <w:t xml:space="preserve">português, inglês e espanhol</w:t>
      </w:r>
      <w:r>
        <w:t xml:space="preserve">. Exemplo concreto de que a regra funcionou: Navarro et al. (2016) está em espanhol; Aranha et al. (2018), Bieniek et al. (2022), Stanganelli et al. (2019) e a tese de Canicoba (2025) estão em português.</w:t>
      </w:r>
    </w:p>
    <w:p>
      <w:pPr>
        <w:numPr>
          <w:ilvl w:val="0"/>
          <w:numId w:val="1002"/>
        </w:numPr>
        <w:pStyle w:val="Compact"/>
      </w:pPr>
      <w:r>
        <w:rPr>
          <w:bCs/>
          <w:b/>
        </w:rPr>
        <w:t xml:space="preserve">Data:</w:t>
      </w:r>
      <w:r>
        <w:t xml:space="preserve"> </w:t>
      </w:r>
      <w:r>
        <w:t xml:space="preserve">sem restrição.</w:t>
      </w:r>
    </w:p>
    <w:bookmarkEnd w:id="48"/>
    <w:bookmarkStart w:id="49" w:name="quem-ficou-de-fora-exclusão"/>
    <w:p>
      <w:pPr>
        <w:pStyle w:val="Heading4"/>
      </w:pPr>
      <w:r>
        <w:t xml:space="preserve">2.2 Quem ficou de fora (exclusão)</w:t>
      </w:r>
    </w:p>
    <w:p>
      <w:pPr>
        <w:numPr>
          <w:ilvl w:val="0"/>
          <w:numId w:val="1003"/>
        </w:numPr>
        <w:pStyle w:val="Compact"/>
      </w:pPr>
      <w:r>
        <w:t xml:space="preserve">Estudos</w:t>
      </w:r>
      <w:r>
        <w:t xml:space="preserve"> </w:t>
      </w:r>
      <w:r>
        <w:rPr>
          <w:iCs/>
          <w:i/>
        </w:rPr>
        <w:t xml:space="preserve">in vitro</w:t>
      </w:r>
      <w:r>
        <w:t xml:space="preserve"> </w:t>
      </w:r>
      <w:r>
        <w:t xml:space="preserve">ou em animais.</w:t>
      </w:r>
    </w:p>
    <w:p>
      <w:pPr>
        <w:numPr>
          <w:ilvl w:val="0"/>
          <w:numId w:val="1003"/>
        </w:numPr>
        <w:pStyle w:val="Compact"/>
      </w:pPr>
      <w:r>
        <w:t xml:space="preserve">População que não fosse a equipe de centro cirúrgico: pacientes, ou profissionais de</w:t>
      </w:r>
      <w:r>
        <w:t xml:space="preserve"> </w:t>
      </w:r>
      <w:r>
        <w:rPr>
          <w:bCs/>
          <w:b/>
        </w:rPr>
        <w:t xml:space="preserve">ambulatórios de dermatologia e ginecologia sem atuação caracterizada em centro cirúrgico</w:t>
      </w:r>
      <w:r>
        <w:t xml:space="preserve">.</w:t>
      </w:r>
    </w:p>
    <w:p>
      <w:pPr>
        <w:numPr>
          <w:ilvl w:val="0"/>
          <w:numId w:val="1003"/>
        </w:numPr>
        <w:pStyle w:val="Compact"/>
      </w:pPr>
      <w:r>
        <w:t xml:space="preserve">Estudos com desfecho</w:t>
      </w:r>
      <w:r>
        <w:t xml:space="preserve"> </w:t>
      </w:r>
      <w:r>
        <w:rPr>
          <w:bCs/>
          <w:b/>
        </w:rPr>
        <w:t xml:space="preserve">apenas no paciente</w:t>
      </w:r>
      <w:r>
        <w:t xml:space="preserve">.</w:t>
      </w:r>
    </w:p>
    <w:p>
      <w:pPr>
        <w:numPr>
          <w:ilvl w:val="0"/>
          <w:numId w:val="1003"/>
        </w:numPr>
        <w:pStyle w:val="Compact"/>
      </w:pPr>
      <w:r>
        <w:t xml:space="preserve">Caracterização</w:t>
      </w:r>
      <w:r>
        <w:t xml:space="preserve"> </w:t>
      </w:r>
      <w:r>
        <w:rPr>
          <w:bCs/>
          <w:b/>
        </w:rPr>
        <w:t xml:space="preserve">estritamente físico-química do ar</w:t>
      </w:r>
      <w:r>
        <w:t xml:space="preserve"> </w:t>
      </w:r>
      <w:r>
        <w:t xml:space="preserve">sem desfecho ou exposição humana.</w:t>
      </w:r>
    </w:p>
    <w:p>
      <w:pPr>
        <w:numPr>
          <w:ilvl w:val="0"/>
          <w:numId w:val="1003"/>
        </w:numPr>
        <w:pStyle w:val="Compact"/>
      </w:pPr>
      <w:r>
        <w:t xml:space="preserve">Revisões, editoriais, cartas e comentários.</w:t>
      </w:r>
    </w:p>
    <w:p>
      <w:pPr>
        <w:numPr>
          <w:ilvl w:val="0"/>
          <w:numId w:val="1003"/>
        </w:numPr>
        <w:pStyle w:val="Compact"/>
      </w:pPr>
      <w:r>
        <w:t xml:space="preserve">Exposição</w:t>
      </w:r>
      <w:r>
        <w:t xml:space="preserve"> </w:t>
      </w:r>
      <w:r>
        <w:rPr>
          <w:bCs/>
          <w:b/>
        </w:rPr>
        <w:t xml:space="preserve">não atribuível à fumaça</w:t>
      </w:r>
      <w:r>
        <w:t xml:space="preserve"> </w:t>
      </w:r>
      <w:r>
        <w:t xml:space="preserve">(por exemplo, apenas gases anestésicos ou radiação).</w:t>
      </w:r>
    </w:p>
    <w:bookmarkEnd w:id="49"/>
    <w:bookmarkStart w:id="50" w:name="X7a8dd6dcbdf76b8b2d9a4845797aa6ab7d07fdb"/>
    <w:p>
      <w:pPr>
        <w:pStyle w:val="Heading4"/>
      </w:pPr>
      <w:r>
        <w:t xml:space="preserve">2.3 Resumos de congresso: a exceção condicionada</w:t>
      </w:r>
    </w:p>
    <w:p>
      <w:pPr>
        <w:pStyle w:val="FirstParagraph"/>
      </w:pPr>
      <w:r>
        <w:t xml:space="preserve">A regra geral foi</w:t>
      </w:r>
      <w:r>
        <w:t xml:space="preserve"> </w:t>
      </w:r>
      <w:r>
        <w:rPr>
          <w:bCs/>
          <w:b/>
        </w:rPr>
        <w:t xml:space="preserve">excluir</w:t>
      </w:r>
      <w:r>
        <w:t xml:space="preserve"> </w:t>
      </w:r>
      <w:r>
        <w:t xml:space="preserve">resumos de congresso,</w:t>
      </w:r>
      <w:r>
        <w:t xml:space="preserve"> </w:t>
      </w:r>
      <w:r>
        <w:rPr>
          <w:bCs/>
          <w:b/>
        </w:rPr>
        <w:t xml:space="preserve">salvo</w:t>
      </w:r>
      <w:r>
        <w:t xml:space="preserve"> </w:t>
      </w:r>
      <w:r>
        <w:t xml:space="preserve">quando informassem população, cenário, definição do desfecho, número de eventos e denominador (tudo o que é preciso para calcular a prevalência). Nesse caso, o resumo entrava, era classificado com</w:t>
      </w:r>
      <w:r>
        <w:t xml:space="preserve"> </w:t>
      </w:r>
      <w:r>
        <w:rPr>
          <w:bCs/>
          <w:b/>
        </w:rPr>
        <w:t xml:space="preserve">preocupação alta com viés</w:t>
      </w:r>
      <w:r>
        <w:t xml:space="preserve"> </w:t>
      </w:r>
      <w:r>
        <w:t xml:space="preserve">por relato incompleto e submetido a</w:t>
      </w:r>
      <w:r>
        <w:t xml:space="preserve"> </w:t>
      </w:r>
      <w:r>
        <w:rPr>
          <w:bCs/>
          <w:b/>
        </w:rPr>
        <w:t xml:space="preserve">análise de sensibilidade</w:t>
      </w:r>
      <w:r>
        <w:t xml:space="preserve">.</w:t>
      </w:r>
    </w:p>
    <w:p>
      <w:pPr>
        <w:pStyle w:val="BodyText"/>
      </w:pPr>
      <w:r>
        <w:t xml:space="preserve">Na prática, um único resumo cumpriu as condições:</w:t>
      </w:r>
      <w:r>
        <w:t xml:space="preserve"> </w:t>
      </w:r>
      <w:r>
        <w:rPr>
          <w:bCs/>
          <w:b/>
        </w:rPr>
        <w:t xml:space="preserve">Mohd Fikri Rosely (2022)</w:t>
      </w:r>
      <w:r>
        <w:t xml:space="preserve">, Hospital Kuala Lumpur, Malásia, n = 196. Ele entrou nos dois agrupamentos (ocular 38/196 = 19,4%; respiratório 72/196 = 36,7%) e na síntese de</w:t>
      </w:r>
      <w:r>
        <w:t xml:space="preserve"> </w:t>
      </w:r>
      <w:r>
        <w:t xml:space="preserve">“</w:t>
      </w:r>
      <w:r>
        <w:t xml:space="preserve">qualquer sintoma</w:t>
      </w:r>
      <w:r>
        <w:t xml:space="preserve">”</w:t>
      </w:r>
      <w:r>
        <w:t xml:space="preserve"> </w:t>
      </w:r>
      <w:r>
        <w:t xml:space="preserve">(109/196 = 55,6%). Quando foi retirado, a prevalência ocular passou de 37,6% para 42,1% e a respiratória de 41,7% para 42,4%, sem mudar a interpretação. O outro resumo que chegou ao texto completo,</w:t>
      </w:r>
      <w:r>
        <w:t xml:space="preserve"> </w:t>
      </w:r>
      <w:r>
        <w:rPr>
          <w:bCs/>
          <w:b/>
        </w:rPr>
        <w:t xml:space="preserve">Kofoed; Sand; Forslund (2014)</w:t>
      </w:r>
      <w:r>
        <w:t xml:space="preserve">, foi excluído justamente por não trazer população, eventos e denominador.</w:t>
      </w:r>
    </w:p>
    <w:bookmarkEnd w:id="50"/>
    <w:bookmarkStart w:id="51" w:name="X87f3145461f6ee4650cf4ebb6d2cde74b895653"/>
    <w:p>
      <w:pPr>
        <w:pStyle w:val="Heading4"/>
      </w:pPr>
      <w:r>
        <w:t xml:space="preserve">2.4 Exemplos concretos do Anexo C: por que os 4 relatórios foram excluídos na leitura na íntegra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Relatório</w:t>
            </w:r>
          </w:p>
        </w:tc>
        <w:tc>
          <w:tcPr/>
          <w:p>
            <w:pPr>
              <w:pStyle w:val="Compact"/>
              <w:jc w:val="left"/>
            </w:pPr>
            <w:r>
              <w:t xml:space="preserve">Motivo específico</w:t>
            </w:r>
          </w:p>
        </w:tc>
        <w:tc>
          <w:tcPr/>
          <w:p>
            <w:pPr>
              <w:pStyle w:val="Compact"/>
              <w:jc w:val="left"/>
            </w:pPr>
            <w:r>
              <w:t xml:space="preserve">Qual critério acionou</w:t>
            </w:r>
          </w:p>
        </w:tc>
      </w:tr>
      <w:tr>
        <w:tc>
          <w:tcPr/>
          <w:p>
            <w:pPr>
              <w:pStyle w:val="Compact"/>
              <w:jc w:val="left"/>
            </w:pPr>
            <w:r>
              <w:rPr>
                <w:bCs/>
                <w:b/>
              </w:rPr>
              <w:t xml:space="preserve">Kofoed; Sand; Forslund, 2014</w:t>
            </w:r>
            <w:r>
              <w:t xml:space="preserve"> </w:t>
            </w:r>
            <w:r>
              <w:t xml:space="preserve">(resumo de congresso, J Am Acad Dermatol; HPV oral e nasal em funcionários que fazem vaporização de verrugas com laser de CO2)</w:t>
            </w:r>
          </w:p>
        </w:tc>
        <w:tc>
          <w:tcPr/>
          <w:p>
            <w:pPr>
              <w:pStyle w:val="Compact"/>
              <w:jc w:val="left"/>
            </w:pPr>
            <w:r>
              <w:t xml:space="preserve">Resumo sem população, eventos e denominador para extração e avaliação de qualidade</w:t>
            </w:r>
          </w:p>
        </w:tc>
        <w:tc>
          <w:tcPr/>
          <w:p>
            <w:pPr>
              <w:pStyle w:val="Compact"/>
              <w:jc w:val="left"/>
            </w:pPr>
            <w:r>
              <w:t xml:space="preserve">Regra dos resumos de congresso</w:t>
            </w:r>
          </w:p>
        </w:tc>
      </w:tr>
      <w:tr>
        <w:tc>
          <w:tcPr/>
          <w:p>
            <w:pPr>
              <w:pStyle w:val="Compact"/>
              <w:jc w:val="left"/>
            </w:pPr>
            <w:r>
              <w:rPr>
                <w:bCs/>
                <w:b/>
              </w:rPr>
              <w:t xml:space="preserve">Wu et al., 1998</w:t>
            </w:r>
            <w:r>
              <w:t xml:space="preserve"> </w:t>
            </w:r>
            <w:r>
              <w:t xml:space="preserve">(absorção sistêmica de subprodutos da combustão na colecistectomia laparoscópica)</w:t>
            </w:r>
          </w:p>
        </w:tc>
        <w:tc>
          <w:tcPr/>
          <w:p>
            <w:pPr>
              <w:pStyle w:val="Compact"/>
              <w:jc w:val="left"/>
            </w:pPr>
            <w:r>
              <w:t xml:space="preserve">Componente ocupacional restrito a</w:t>
            </w:r>
            <w:r>
              <w:t xml:space="preserve"> </w:t>
            </w:r>
            <w:r>
              <w:rPr>
                <w:bCs/>
                <w:b/>
              </w:rPr>
              <w:t xml:space="preserve">um único cirurgião</w:t>
            </w:r>
            <w:r>
              <w:t xml:space="preserve"> </w:t>
            </w:r>
            <w:r>
              <w:t xml:space="preserve">(carboxi-hemoglobina e meta-hemoglobina); a população principal eram</w:t>
            </w:r>
            <w:r>
              <w:t xml:space="preserve"> </w:t>
            </w:r>
            <w:r>
              <w:rPr>
                <w:bCs/>
                <w:b/>
              </w:rPr>
              <w:t xml:space="preserve">21 pacientes</w:t>
            </w:r>
          </w:p>
        </w:tc>
        <w:tc>
          <w:tcPr/>
          <w:p>
            <w:pPr>
              <w:pStyle w:val="Compact"/>
              <w:jc w:val="left"/>
            </w:pPr>
            <w:r>
              <w:t xml:space="preserve">Desfecho no paciente; sem amostra de profissionais que constituísse estudo observacional da equipe</w:t>
            </w:r>
          </w:p>
        </w:tc>
      </w:tr>
      <w:tr>
        <w:tc>
          <w:tcPr/>
          <w:p>
            <w:pPr>
              <w:pStyle w:val="Compact"/>
              <w:jc w:val="left"/>
            </w:pPr>
            <w:r>
              <w:rPr>
                <w:bCs/>
                <w:b/>
              </w:rPr>
              <w:t xml:space="preserve">Lobraico et al., 1989</w:t>
            </w:r>
            <w:r>
              <w:t xml:space="preserve"> </w:t>
            </w:r>
            <w:r>
              <w:t xml:space="preserve">(lesões por HPV em usuários e não usuários de laser)</w:t>
            </w:r>
          </w:p>
        </w:tc>
        <w:tc>
          <w:tcPr/>
          <w:p>
            <w:pPr>
              <w:pStyle w:val="Compact"/>
              <w:jc w:val="left"/>
            </w:pPr>
            <w:r>
              <w:t xml:space="preserve">Inquérito postal de profissionais que tratam verrugas com laser em</w:t>
            </w:r>
            <w:r>
              <w:t xml:space="preserve"> </w:t>
            </w:r>
            <w:r>
              <w:rPr>
                <w:bCs/>
                <w:b/>
              </w:rPr>
              <w:t xml:space="preserve">ambulatórios</w:t>
            </w:r>
            <w:r>
              <w:t xml:space="preserve"> </w:t>
            </w:r>
            <w:r>
              <w:t xml:space="preserve">de dermatologia e ginecologia, sem dados separáveis para quem atua em centro cirúrgico</w:t>
            </w:r>
          </w:p>
        </w:tc>
        <w:tc>
          <w:tcPr/>
          <w:p>
            <w:pPr>
              <w:pStyle w:val="Compact"/>
              <w:jc w:val="left"/>
            </w:pPr>
            <w:r>
              <w:t xml:space="preserve">População fora do centro cirúrgico</w:t>
            </w:r>
          </w:p>
        </w:tc>
      </w:tr>
      <w:tr>
        <w:tc>
          <w:tcPr/>
          <w:p>
            <w:pPr>
              <w:pStyle w:val="Compact"/>
              <w:jc w:val="left"/>
            </w:pPr>
            <w:r>
              <w:rPr>
                <w:bCs/>
                <w:b/>
              </w:rPr>
              <w:t xml:space="preserve">Kofoed et al., 2015</w:t>
            </w:r>
            <w:r>
              <w:t xml:space="preserve"> </w:t>
            </w:r>
            <w:r>
              <w:t xml:space="preserve">(HPV oral/nasal em profissionais de laser de CO2, Acta Derm Venereol)</w:t>
            </w:r>
          </w:p>
        </w:tc>
        <w:tc>
          <w:tcPr/>
          <w:p>
            <w:pPr>
              <w:pStyle w:val="Compact"/>
              <w:jc w:val="left"/>
            </w:pPr>
            <w:r>
              <w:t xml:space="preserve">Profissionais de departamentos</w:t>
            </w:r>
            <w:r>
              <w:t xml:space="preserve"> </w:t>
            </w:r>
            <w:r>
              <w:rPr>
                <w:bCs/>
                <w:b/>
              </w:rPr>
              <w:t xml:space="preserve">ambulatoriais</w:t>
            </w:r>
            <w:r>
              <w:t xml:space="preserve"> </w:t>
            </w:r>
            <w:r>
              <w:t xml:space="preserve">de dermatovenereologia e ginecologia (laser/LEEP), sem dados separáveis para centro cirúrgico</w:t>
            </w:r>
          </w:p>
        </w:tc>
        <w:tc>
          <w:tcPr/>
          <w:p>
            <w:pPr>
              <w:pStyle w:val="Compact"/>
              <w:jc w:val="left"/>
            </w:pPr>
            <w:r>
              <w:t xml:space="preserve">População fora do centro cirúrgico</w:t>
            </w:r>
          </w:p>
        </w:tc>
      </w:tr>
    </w:tbl>
    <w:p>
      <w:pPr>
        <w:pStyle w:val="BodyText"/>
      </w:pPr>
      <w:r>
        <w:t xml:space="preserve">Resumo que você pode falar de cabeça: dos 4 excluídos,</w:t>
      </w:r>
      <w:r>
        <w:t xml:space="preserve"> </w:t>
      </w:r>
      <w:r>
        <w:rPr>
          <w:bCs/>
          <w:b/>
        </w:rPr>
        <w:t xml:space="preserve">1 foi resumo de congresso</w:t>
      </w:r>
      <w:r>
        <w:t xml:space="preserve"> </w:t>
      </w:r>
      <w:r>
        <w:t xml:space="preserve">sem dados e</w:t>
      </w:r>
      <w:r>
        <w:t xml:space="preserve"> </w:t>
      </w:r>
      <w:r>
        <w:rPr>
          <w:bCs/>
          <w:b/>
        </w:rPr>
        <w:t xml:space="preserve">3 foram por população ou contexto inelegível</w:t>
      </w:r>
      <w:r>
        <w:t xml:space="preserve">.</w:t>
      </w:r>
    </w:p>
    <w:p>
      <w:pPr>
        <w:pStyle w:val="BodyText"/>
      </w:pPr>
      <w:r>
        <w:rPr>
          <w:bCs/>
          <w:b/>
        </w:rPr>
        <w:t xml:space="preserve">Ponto de atenção para a banca:</w:t>
      </w:r>
      <w:r>
        <w:t xml:space="preserve"> </w:t>
      </w:r>
      <w:r>
        <w:t xml:space="preserve">incluído não é o mesmo que metanalisado. Os 22 relatórios incluídos</w:t>
      </w:r>
      <w:r>
        <w:t xml:space="preserve"> </w:t>
      </w:r>
      <w:r>
        <w:rPr>
          <w:bCs/>
          <w:b/>
        </w:rPr>
        <w:t xml:space="preserve">não</w:t>
      </w:r>
      <w:r>
        <w:t xml:space="preserve"> </w:t>
      </w:r>
      <w:r>
        <w:t xml:space="preserve">entraram todos na metanálise; apenas 7 estudos alimentam os agrupamentos. O</w:t>
      </w:r>
      <w:r>
        <w:t xml:space="preserve"> </w:t>
      </w:r>
      <w:r>
        <w:rPr>
          <w:bCs/>
          <w:b/>
        </w:rPr>
        <w:t xml:space="preserve">Anexo D1</w:t>
      </w:r>
      <w:r>
        <w:t xml:space="preserve"> </w:t>
      </w:r>
      <w:r>
        <w:t xml:space="preserve">explica o papel de cada um. Exemplos que podem ser cobrados:</w:t>
      </w:r>
      <w:r>
        <w:t xml:space="preserve"> </w:t>
      </w:r>
      <w:r>
        <w:t xml:space="preserve">-</w:t>
      </w:r>
      <w:r>
        <w:t xml:space="preserve"> </w:t>
      </w:r>
      <w:r>
        <w:rPr>
          <w:bCs/>
          <w:b/>
        </w:rPr>
        <w:t xml:space="preserve">Karaman Özlü (2024), Habib; Chaudhary (2023), Asdornwised (2018):</w:t>
      </w:r>
      <w:r>
        <w:t xml:space="preserve"> </w:t>
      </w:r>
      <w:r>
        <w:t xml:space="preserve">incluídos, mas não agrupados, porque os sintomas não estavam desagregados por sistema com numerador e denominador extraíveis.</w:t>
      </w:r>
      <w:r>
        <w:t xml:space="preserve"> </w:t>
      </w:r>
      <w:r>
        <w:t xml:space="preserve">-</w:t>
      </w:r>
      <w:r>
        <w:t xml:space="preserve"> </w:t>
      </w:r>
      <w:r>
        <w:rPr>
          <w:bCs/>
          <w:b/>
        </w:rPr>
        <w:t xml:space="preserve">Taskingul; Kiran; Emerce (2024):</w:t>
      </w:r>
      <w:r>
        <w:t xml:space="preserve"> </w:t>
      </w:r>
      <w:r>
        <w:t xml:space="preserve">amostra de 608 profissionais de saúde, dos quais só 105 atuavam em centro cirúrgico, sem numerador e denominador de sintomas relacionados à fumaça para esse subgrupo.</w:t>
      </w:r>
      <w:r>
        <w:t xml:space="preserve"> </w:t>
      </w:r>
      <w:r>
        <w:t xml:space="preserve">-</w:t>
      </w:r>
      <w:r>
        <w:t xml:space="preserve"> </w:t>
      </w:r>
      <w:r>
        <w:rPr>
          <w:bCs/>
          <w:b/>
        </w:rPr>
        <w:t xml:space="preserve">Jadhav; Achutan (2020):</w:t>
      </w:r>
      <w:r>
        <w:t xml:space="preserve"> </w:t>
      </w:r>
      <w:r>
        <w:t xml:space="preserve">foco na medição do ar (formaldeído, PM2,5 e COV), amostra reduzida (n = 43).</w:t>
      </w:r>
      <w:r>
        <w:t xml:space="preserve"> </w:t>
      </w:r>
      <w:r>
        <w:t xml:space="preserve">-</w:t>
      </w:r>
      <w:r>
        <w:t xml:space="preserve"> </w:t>
      </w:r>
      <w:r>
        <w:rPr>
          <w:bCs/>
          <w:b/>
        </w:rPr>
        <w:t xml:space="preserve">Van Giersbergen et al. (2019), n = 672:</w:t>
      </w:r>
      <w:r>
        <w:t xml:space="preserve"> </w:t>
      </w:r>
      <w:r>
        <w:t xml:space="preserve">entrou no agrupamento respiratório, mas</w:t>
      </w:r>
      <w:r>
        <w:t xml:space="preserve"> </w:t>
      </w:r>
      <w:r>
        <w:rPr>
          <w:bCs/>
          <w:b/>
        </w:rPr>
        <w:t xml:space="preserve">não</w:t>
      </w:r>
      <w:r>
        <w:t xml:space="preserve"> </w:t>
      </w:r>
      <w:r>
        <w:t xml:space="preserve">no ocular, porque não reportou numerador e denominador extraíveis para o sintoma ocular. Isso é reconhecido nas Limitações: a estimativa ocular se apoia em 756 participantes de estudos menores.</w:t>
      </w:r>
    </w:p>
    <w:p>
      <w:pPr>
        <w:pStyle w:val="BodyText"/>
      </w:pPr>
      <w:r>
        <w:t xml:space="preserve">Um segundo ponto de atenção: o critério de exclusão fala em</w:t>
      </w:r>
      <w:r>
        <w:t xml:space="preserve"> </w:t>
      </w:r>
      <w:r>
        <w:t xml:space="preserve">“</w:t>
      </w:r>
      <w:r>
        <w:t xml:space="preserve">ambulatórios de dermatologia e ginecologia sem atuação caracterizada em centro cirúrgico</w:t>
      </w:r>
      <w:r>
        <w:t xml:space="preserve">”</w:t>
      </w:r>
      <w:r>
        <w:t xml:space="preserve">, e</w:t>
      </w:r>
      <w:r>
        <w:t xml:space="preserve"> </w:t>
      </w:r>
      <w:r>
        <w:rPr>
          <w:bCs/>
          <w:b/>
        </w:rPr>
        <w:t xml:space="preserve">Hu et al. (2021)</w:t>
      </w:r>
      <w:r>
        <w:t xml:space="preserve"> </w:t>
      </w:r>
      <w:r>
        <w:t xml:space="preserve">é um estudo com ginecologistas (469 que faziam eletrocirurgia versus 231 que não faziam). O manuscrito não explicita a diferença entre esse caso e os de Lobraico e Kofoed. Prepare-se para explicar, a partir do texto original de Hu et al., o que caracteriza a atuação em centro cirúrgico naquela amostra; não dá para responder isso só com o manuscrito.</w:t>
      </w:r>
    </w:p>
    <w:p>
      <w:pPr>
        <w:pStyle w:val="BlockText"/>
      </w:pPr>
      <w:r>
        <w:rPr>
          <w:bCs/>
          <w:b/>
        </w:rPr>
        <w:t xml:space="preserve">O que dizer se perguntarem (</w:t>
      </w:r>
      <w:r>
        <w:rPr>
          <w:bCs/>
          <w:b/>
        </w:rPr>
        <w:t xml:space="preserve">“</w:t>
      </w:r>
      <w:r>
        <w:rPr>
          <w:bCs/>
          <w:b/>
        </w:rPr>
        <w:t xml:space="preserve">por que excluir estudos de dermatologia com laser, se também geram fumaça?</w:t>
      </w:r>
      <w:r>
        <w:rPr>
          <w:bCs/>
          <w:b/>
        </w:rPr>
        <w:t xml:space="preserve">”</w:t>
      </w:r>
      <w:r>
        <w:rPr>
          <w:bCs/>
          <w:b/>
        </w:rPr>
        <w:t xml:space="preserve">):</w:t>
      </w:r>
      <w:r>
        <w:t xml:space="preserve"> </w:t>
      </w:r>
      <w:r>
        <w:t xml:space="preserve">“</w:t>
      </w:r>
      <w:r>
        <w:t xml:space="preserve">Porque a população da pergunta é a equipe de centro cirúrgico. Lobraico (1989) e Kofoed (2015) eram profissionais de ambulatório de dermatologia e ginecologia sem dados separáveis para quem atua em centro cirúrgico; incluí-los mudaria a população e o contexto da pergunta CoCoPop.</w:t>
      </w:r>
      <w:r>
        <w:t xml:space="preserve">”</w:t>
      </w:r>
    </w:p>
    <w:p>
      <w:pPr>
        <w:pStyle w:val="BlockText"/>
      </w:pPr>
      <w:r>
        <w:rPr>
          <w:bCs/>
          <w:b/>
        </w:rPr>
        <w:t xml:space="preserve">O que dizer se perguntarem (</w:t>
      </w:r>
      <w:r>
        <w:rPr>
          <w:bCs/>
          <w:b/>
        </w:rPr>
        <w:t xml:space="preserve">“</w:t>
      </w:r>
      <w:r>
        <w:rPr>
          <w:bCs/>
          <w:b/>
        </w:rPr>
        <w:t xml:space="preserve">por que só três idiomas?</w:t>
      </w:r>
      <w:r>
        <w:rPr>
          <w:bCs/>
          <w:b/>
        </w:rPr>
        <w:t xml:space="preserve">”</w:t>
      </w:r>
      <w:r>
        <w:rPr>
          <w:bCs/>
          <w:b/>
        </w:rPr>
        <w:t xml:space="preserve">):</w:t>
      </w:r>
      <w:r>
        <w:t xml:space="preserve"> </w:t>
      </w:r>
      <w:r>
        <w:t xml:space="preserve">“</w:t>
      </w:r>
      <w:r>
        <w:t xml:space="preserve">A busca não teve filtro de idioma, então nenhum registro foi barrado na recuperação. Na elegibilidade, restringimos a português, inglês e espanhol por capacidade de leitura, e isso está declarado como limitação, porque pode ter excluído evidência em outros idiomas.</w:t>
      </w:r>
      <w:r>
        <w:t xml:space="preserve">”</w:t>
      </w:r>
    </w:p>
    <w:p>
      <w:r>
        <w:pict>
          <v:rect style="width:0;height:1.5pt" o:hralign="center" o:hrstd="t" o:hr="t"/>
        </w:pict>
      </w:r>
    </w:p>
    <w:bookmarkEnd w:id="51"/>
    <w:bookmarkEnd w:id="52"/>
    <w:bookmarkStart w:id="62" w:name="passo-3-busca-e-seleção-dos-estudos"/>
    <w:p>
      <w:pPr>
        <w:pStyle w:val="Heading3"/>
      </w:pPr>
      <w:r>
        <w:t xml:space="preserve">Passo 3 — Busca e seleção dos estudos</w:t>
      </w:r>
    </w:p>
    <w:bookmarkStart w:id="53" w:name="fontes-de-informação"/>
    <w:p>
      <w:pPr>
        <w:pStyle w:val="Heading4"/>
      </w:pPr>
      <w:r>
        <w:t xml:space="preserve">3.1 Fontes de informação</w:t>
      </w:r>
    </w:p>
    <w:p>
      <w:pPr>
        <w:numPr>
          <w:ilvl w:val="0"/>
          <w:numId w:val="1004"/>
        </w:numPr>
        <w:pStyle w:val="Compact"/>
      </w:pPr>
      <w:r>
        <w:rPr>
          <w:bCs/>
          <w:b/>
        </w:rPr>
        <w:t xml:space="preserve">Sete bases eletrônicas:</w:t>
      </w:r>
      <w:r>
        <w:t xml:space="preserve"> </w:t>
      </w:r>
      <w:r>
        <w:t xml:space="preserve">PubMed/MEDLINE, Embase, Scopus, Web of Science, Cochrane CENTRAL, SciELO e Portal Regional da BVS (com LILACS e IBECS).</w:t>
      </w:r>
    </w:p>
    <w:p>
      <w:pPr>
        <w:numPr>
          <w:ilvl w:val="0"/>
          <w:numId w:val="1004"/>
        </w:numPr>
        <w:pStyle w:val="Compact"/>
      </w:pPr>
      <w:r>
        <w:rPr>
          <w:bCs/>
          <w:b/>
        </w:rPr>
        <w:t xml:space="preserve">Literatura cinzenta:</w:t>
      </w:r>
      <w:r>
        <w:t xml:space="preserve"> </w:t>
      </w:r>
      <w:r>
        <w:t xml:space="preserve">Google Scholar e Catálogo de Teses e Dissertações da CAPES.</w:t>
      </w:r>
    </w:p>
    <w:p>
      <w:pPr>
        <w:numPr>
          <w:ilvl w:val="0"/>
          <w:numId w:val="1004"/>
        </w:numPr>
        <w:pStyle w:val="Compact"/>
      </w:pPr>
      <w:r>
        <w:rPr>
          <w:bCs/>
          <w:b/>
        </w:rPr>
        <w:t xml:space="preserve">Busca por citação (</w:t>
      </w:r>
      <w:r>
        <w:rPr>
          <w:iCs/>
          <w:i/>
          <w:bCs/>
          <w:b/>
        </w:rPr>
        <w:t xml:space="preserve">snowballing</w:t>
      </w:r>
      <w:r>
        <w:rPr>
          <w:bCs/>
          <w:b/>
        </w:rPr>
        <w:t xml:space="preserve">):</w:t>
      </w:r>
      <w:r>
        <w:t xml:space="preserve"> </w:t>
      </w:r>
      <w:r>
        <w:t xml:space="preserve">rastreamento das listas de referências dos estudos incluídos (</w:t>
      </w:r>
      <w:r>
        <w:rPr>
          <w:bCs/>
          <w:b/>
        </w:rPr>
        <w:t xml:space="preserve">busca reversa</w:t>
      </w:r>
      <w:r>
        <w:t xml:space="preserve">) e das publicações que os citam (</w:t>
      </w:r>
      <w:r>
        <w:rPr>
          <w:bCs/>
          <w:b/>
        </w:rPr>
        <w:t xml:space="preserve">busca direta</w:t>
      </w:r>
      <w:r>
        <w:t xml:space="preserve">), feito de forma</w:t>
      </w:r>
      <w:r>
        <w:t xml:space="preserve"> </w:t>
      </w:r>
      <w:r>
        <w:rPr>
          <w:bCs/>
          <w:b/>
        </w:rPr>
        <w:t xml:space="preserve">automatizada pela base OpenAlex</w:t>
      </w:r>
      <w:r>
        <w:t xml:space="preserve"> </w:t>
      </w:r>
      <w:r>
        <w:t xml:space="preserve">(Priem; Piwowar; Orr, 2022). O OpenAlex também foi usado para recuperar metadados.</w:t>
      </w:r>
    </w:p>
    <w:p>
      <w:pPr>
        <w:numPr>
          <w:ilvl w:val="0"/>
          <w:numId w:val="1004"/>
        </w:numPr>
        <w:pStyle w:val="Compact"/>
      </w:pPr>
      <w:r>
        <w:rPr>
          <w:bCs/>
          <w:b/>
        </w:rPr>
        <w:t xml:space="preserve">Data da última busca:</w:t>
      </w:r>
      <w:r>
        <w:t xml:space="preserve"> </w:t>
      </w:r>
      <w:r>
        <w:rPr>
          <w:bCs/>
          <w:b/>
        </w:rPr>
        <w:t xml:space="preserve">9 de julho de 2026</w:t>
      </w:r>
      <w:r>
        <w:t xml:space="preserve">, nas bases, na literatura cinzenta e na busca por citação.</w:t>
      </w:r>
    </w:p>
    <w:p>
      <w:pPr>
        <w:pStyle w:val="FirstParagraph"/>
      </w:pPr>
      <w:r>
        <w:rPr>
          <w:bCs/>
          <w:b/>
        </w:rPr>
        <w:t xml:space="preserve">(conhecimento geral)</w:t>
      </w:r>
      <w:r>
        <w:t xml:space="preserve"> </w:t>
      </w:r>
      <w:r>
        <w:t xml:space="preserve">Por que tantas fontes? PubMed, Embase, Scopus e WoS se sobrepõem bastante, mas cada uma cobre periódicos que as outras não cobrem; SciELO e BVS/LILACS são essenciais para a produção latino-americana (daí a presença de vários estudos brasileiros e um mexicano em espanhol); Google Scholar e CAPES capturam o que não está indexado; e a busca por citação acha o que a estratégia de palavras não acha.</w:t>
      </w:r>
    </w:p>
    <w:bookmarkEnd w:id="53"/>
    <w:bookmarkStart w:id="54" w:name="lógica-da-estratégia-de-busca"/>
    <w:p>
      <w:pPr>
        <w:pStyle w:val="Heading4"/>
      </w:pPr>
      <w:r>
        <w:t xml:space="preserve">3.2 Lógica da estratégia de busca</w:t>
      </w:r>
    </w:p>
    <w:p>
      <w:pPr>
        <w:pStyle w:val="FirstParagraph"/>
      </w:pPr>
      <w:r>
        <w:t xml:space="preserve">A estratégia foi desenhada para</w:t>
      </w:r>
      <w:r>
        <w:t xml:space="preserve"> </w:t>
      </w:r>
      <w:r>
        <w:rPr>
          <w:bCs/>
          <w:b/>
        </w:rPr>
        <w:t xml:space="preserve">alta sensibilidade</w:t>
      </w:r>
      <w:r>
        <w:t xml:space="preserve">: combinou</w:t>
      </w:r>
      <w:r>
        <w:t xml:space="preserve"> </w:t>
      </w:r>
      <w:r>
        <w:rPr>
          <w:bCs/>
          <w:b/>
        </w:rPr>
        <w:t xml:space="preserve">dois blocos</w:t>
      </w:r>
      <w:r>
        <w:t xml:space="preserve"> </w:t>
      </w:r>
      <w:r>
        <w:t xml:space="preserve">com AND:</w:t>
      </w:r>
    </w:p>
    <w:p>
      <w:pPr>
        <w:numPr>
          <w:ilvl w:val="0"/>
          <w:numId w:val="1005"/>
        </w:numPr>
        <w:pStyle w:val="Compact"/>
      </w:pPr>
      <w:r>
        <w:rPr>
          <w:bCs/>
          <w:b/>
        </w:rPr>
        <w:t xml:space="preserve">Bloco de população</w:t>
      </w:r>
      <w:r>
        <w:t xml:space="preserve"> </w:t>
      </w:r>
      <w:r>
        <w:t xml:space="preserve">(equipe cirúrgica:</w:t>
      </w:r>
      <w:r>
        <w:t xml:space="preserve"> </w:t>
      </w:r>
      <w:r>
        <w:rPr>
          <w:iCs/>
          <w:i/>
        </w:rPr>
        <w:t xml:space="preserve">surgeon</w:t>
      </w:r>
      <w:r>
        <w:t xml:space="preserve">,</w:t>
      </w:r>
      <w:r>
        <w:t xml:space="preserve"> </w:t>
      </w:r>
      <w:r>
        <w:rPr>
          <w:iCs/>
          <w:i/>
        </w:rPr>
        <w:t xml:space="preserve">nurse</w:t>
      </w:r>
      <w:r>
        <w:t xml:space="preserve">,</w:t>
      </w:r>
      <w:r>
        <w:t xml:space="preserve"> </w:t>
      </w:r>
      <w:r>
        <w:rPr>
          <w:iCs/>
          <w:i/>
        </w:rPr>
        <w:t xml:space="preserve">operating room</w:t>
      </w:r>
      <w:r>
        <w:t xml:space="preserve">,</w:t>
      </w:r>
      <w:r>
        <w:t xml:space="preserve"> </w:t>
      </w:r>
      <w:r>
        <w:rPr>
          <w:iCs/>
          <w:i/>
        </w:rPr>
        <w:t xml:space="preserve">perioperative</w:t>
      </w:r>
      <w:r>
        <w:t xml:space="preserve">,</w:t>
      </w:r>
      <w:r>
        <w:t xml:space="preserve"> </w:t>
      </w:r>
      <w:r>
        <w:rPr>
          <w:iCs/>
          <w:i/>
        </w:rPr>
        <w:t xml:space="preserve">scrub nurse</w:t>
      </w:r>
      <w:r>
        <w:t xml:space="preserve">, termos MeSH/Emtree como</w:t>
      </w:r>
      <w:r>
        <w:t xml:space="preserve"> </w:t>
      </w:r>
      <w:r>
        <w:t xml:space="preserve">“</w:t>
      </w:r>
      <w:r>
        <w:t xml:space="preserve">Surgeons</w:t>
      </w:r>
      <w:r>
        <w:t xml:space="preserve">”</w:t>
      </w:r>
      <w:r>
        <w:t xml:space="preserve">,</w:t>
      </w:r>
      <w:r>
        <w:t xml:space="preserve"> </w:t>
      </w:r>
      <w:r>
        <w:t xml:space="preserve">“</w:t>
      </w:r>
      <w:r>
        <w:t xml:space="preserve">Operating Room Nursing</w:t>
      </w:r>
      <w:r>
        <w:t xml:space="preserve">”</w:t>
      </w:r>
      <w:r>
        <w:t xml:space="preserve">,</w:t>
      </w:r>
      <w:r>
        <w:t xml:space="preserve"> </w:t>
      </w:r>
      <w:r>
        <w:t xml:space="preserve">“</w:t>
      </w:r>
      <w:r>
        <w:t xml:space="preserve">Occupational Exposure</w:t>
      </w:r>
      <w:r>
        <w:t xml:space="preserve">”</w:t>
      </w:r>
      <w:r>
        <w:t xml:space="preserve">, e o termo amplo</w:t>
      </w:r>
      <w:r>
        <w:t xml:space="preserve"> </w:t>
      </w:r>
      <w:r>
        <w:rPr>
          <w:iCs/>
          <w:i/>
        </w:rPr>
        <w:t xml:space="preserve">occupational</w:t>
      </w:r>
      <w:r>
        <w:t xml:space="preserve">);</w:t>
      </w:r>
    </w:p>
    <w:p>
      <w:pPr>
        <w:numPr>
          <w:ilvl w:val="0"/>
          <w:numId w:val="1005"/>
        </w:numPr>
        <w:pStyle w:val="Compact"/>
      </w:pPr>
      <w:r>
        <w:rPr>
          <w:bCs/>
          <w:b/>
        </w:rPr>
        <w:t xml:space="preserve">Bloco de exposição</w:t>
      </w:r>
      <w:r>
        <w:t xml:space="preserve"> </w:t>
      </w:r>
      <w:r>
        <w:t xml:space="preserve">(fumaça ou dispositivos de energia:</w:t>
      </w:r>
      <w:r>
        <w:t xml:space="preserve"> </w:t>
      </w:r>
      <w:r>
        <w:rPr>
          <w:iCs/>
          <w:i/>
        </w:rPr>
        <w:t xml:space="preserve">surgical smoke</w:t>
      </w:r>
      <w:r>
        <w:t xml:space="preserve">,</w:t>
      </w:r>
      <w:r>
        <w:t xml:space="preserve"> </w:t>
      </w:r>
      <w:r>
        <w:rPr>
          <w:iCs/>
          <w:i/>
        </w:rPr>
        <w:t xml:space="preserve">surgical plume</w:t>
      </w:r>
      <w:r>
        <w:t xml:space="preserve">,</w:t>
      </w:r>
      <w:r>
        <w:t xml:space="preserve"> </w:t>
      </w:r>
      <w:r>
        <w:rPr>
          <w:iCs/>
          <w:i/>
        </w:rPr>
        <w:t xml:space="preserve">diathermy plume</w:t>
      </w:r>
      <w:r>
        <w:t xml:space="preserve">,</w:t>
      </w:r>
      <w:r>
        <w:t xml:space="preserve"> </w:t>
      </w:r>
      <w:r>
        <w:rPr>
          <w:iCs/>
          <w:i/>
        </w:rPr>
        <w:t xml:space="preserve">laser plume</w:t>
      </w:r>
      <w:r>
        <w:t xml:space="preserve">,</w:t>
      </w:r>
      <w:r>
        <w:t xml:space="preserve"> </w:t>
      </w:r>
      <w:r>
        <w:rPr>
          <w:iCs/>
          <w:i/>
        </w:rPr>
        <w:t xml:space="preserve">bioaerosol</w:t>
      </w:r>
      <w:r>
        <w:t xml:space="preserve">, e uma combinação</w:t>
      </w:r>
      <w:r>
        <w:t xml:space="preserve"> </w:t>
      </w:r>
      <w:r>
        <w:t xml:space="preserve">“</w:t>
      </w:r>
      <w:r>
        <w:t xml:space="preserve">dispositivo AND emissão</w:t>
      </w:r>
      <w:r>
        <w:t xml:space="preserve">”</w:t>
      </w:r>
      <w:r>
        <w:t xml:space="preserve">, em que</w:t>
      </w:r>
      <w:r>
        <w:t xml:space="preserve"> </w:t>
      </w:r>
      <w:r>
        <w:rPr>
          <w:iCs/>
          <w:i/>
        </w:rPr>
        <w:t xml:space="preserve">electrosurg*</w:t>
      </w:r>
      <w:r>
        <w:t xml:space="preserve">,</w:t>
      </w:r>
      <w:r>
        <w:t xml:space="preserve"> </w:t>
      </w:r>
      <w:r>
        <w:rPr>
          <w:iCs/>
          <w:i/>
        </w:rPr>
        <w:t xml:space="preserve">electrocauter*</w:t>
      </w:r>
      <w:r>
        <w:t xml:space="preserve">,</w:t>
      </w:r>
      <w:r>
        <w:t xml:space="preserve"> </w:t>
      </w:r>
      <w:r>
        <w:rPr>
          <w:iCs/>
          <w:i/>
        </w:rPr>
        <w:t xml:space="preserve">laser</w:t>
      </w:r>
      <w:r>
        <w:t xml:space="preserve">,</w:t>
      </w:r>
      <w:r>
        <w:t xml:space="preserve"> </w:t>
      </w:r>
      <w:r>
        <w:rPr>
          <w:iCs/>
          <w:i/>
        </w:rPr>
        <w:t xml:space="preserve">ultrasonic scalpel</w:t>
      </w:r>
      <w:r>
        <w:t xml:space="preserve"> </w:t>
      </w:r>
      <w:r>
        <w:t xml:space="preserve">etc. são combinados com</w:t>
      </w:r>
      <w:r>
        <w:t xml:space="preserve"> </w:t>
      </w:r>
      <w:r>
        <w:rPr>
          <w:iCs/>
          <w:i/>
        </w:rPr>
        <w:t xml:space="preserve">smoke</w:t>
      </w:r>
      <w:r>
        <w:t xml:space="preserve">,</w:t>
      </w:r>
      <w:r>
        <w:t xml:space="preserve"> </w:t>
      </w:r>
      <w:r>
        <w:rPr>
          <w:iCs/>
          <w:i/>
        </w:rPr>
        <w:t xml:space="preserve">plume</w:t>
      </w:r>
      <w:r>
        <w:t xml:space="preserve">,</w:t>
      </w:r>
      <w:r>
        <w:t xml:space="preserve"> </w:t>
      </w:r>
      <w:r>
        <w:rPr>
          <w:iCs/>
          <w:i/>
        </w:rPr>
        <w:t xml:space="preserve">aerosol*</w:t>
      </w:r>
      <w:r>
        <w:t xml:space="preserve">,</w:t>
      </w:r>
      <w:r>
        <w:t xml:space="preserve"> </w:t>
      </w:r>
      <w:r>
        <w:rPr>
          <w:iCs/>
          <w:i/>
        </w:rPr>
        <w:t xml:space="preserve">fume*</w:t>
      </w:r>
      <w:r>
        <w:t xml:space="preserve">,</w:t>
      </w:r>
      <w:r>
        <w:t xml:space="preserve"> </w:t>
      </w:r>
      <w:r>
        <w:rPr>
          <w:iCs/>
          <w:i/>
        </w:rPr>
        <w:t xml:space="preserve">particulate matter</w:t>
      </w:r>
      <w:r>
        <w:t xml:space="preserve"> </w:t>
      </w:r>
      <w:r>
        <w:t xml:space="preserve">etc.).</w:t>
      </w:r>
    </w:p>
    <w:p>
      <w:pPr>
        <w:pStyle w:val="FirstParagraph"/>
      </w:pPr>
      <w:r>
        <w:t xml:space="preserve">Três ausências deliberadas:</w:t>
      </w:r>
      <w:r>
        <w:t xml:space="preserve"> </w:t>
      </w:r>
      <w:r>
        <w:t xml:space="preserve">-</w:t>
      </w:r>
      <w:r>
        <w:t xml:space="preserve"> </w:t>
      </w:r>
      <w:r>
        <w:rPr>
          <w:bCs/>
          <w:b/>
        </w:rPr>
        <w:t xml:space="preserve">Sem bloco de desfecho.</w:t>
      </w:r>
      <w:r>
        <w:t xml:space="preserve"> </w:t>
      </w:r>
      <w:r>
        <w:rPr>
          <w:bCs/>
          <w:b/>
        </w:rPr>
        <w:t xml:space="preserve">(conhecimento geral)</w:t>
      </w:r>
      <w:r>
        <w:t xml:space="preserve"> </w:t>
      </w:r>
      <w:r>
        <w:t xml:space="preserve">Desfechos como</w:t>
      </w:r>
      <w:r>
        <w:t xml:space="preserve"> </w:t>
      </w:r>
      <w:r>
        <w:t xml:space="preserve">“</w:t>
      </w:r>
      <w:r>
        <w:t xml:space="preserve">irritação</w:t>
      </w:r>
      <w:r>
        <w:t xml:space="preserve">”</w:t>
      </w:r>
      <w:r>
        <w:t xml:space="preserve">,</w:t>
      </w:r>
      <w:r>
        <w:t xml:space="preserve"> </w:t>
      </w:r>
      <w:r>
        <w:t xml:space="preserve">“</w:t>
      </w:r>
      <w:r>
        <w:t xml:space="preserve">tosse</w:t>
      </w:r>
      <w:r>
        <w:t xml:space="preserve">”</w:t>
      </w:r>
      <w:r>
        <w:t xml:space="preserve"> </w:t>
      </w:r>
      <w:r>
        <w:t xml:space="preserve">ou</w:t>
      </w:r>
      <w:r>
        <w:t xml:space="preserve"> </w:t>
      </w:r>
      <w:r>
        <w:t xml:space="preserve">“</w:t>
      </w:r>
      <w:r>
        <w:t xml:space="preserve">metaplasia</w:t>
      </w:r>
      <w:r>
        <w:t xml:space="preserve">”</w:t>
      </w:r>
      <w:r>
        <w:t xml:space="preserve"> </w:t>
      </w:r>
      <w:r>
        <w:t xml:space="preserve">são mal indexados e variam muito de redação; um bloco de desfecho derrubaria a sensibilidade e poderia perder justamente os biomarcadores e desfechos objetivos que a revisão queria encontrar. O manuscrito diz:</w:t>
      </w:r>
      <w:r>
        <w:t xml:space="preserve"> </w:t>
      </w:r>
      <w:r>
        <w:t xml:space="preserve">“</w:t>
      </w:r>
      <w:r>
        <w:t xml:space="preserve">sem bloco de desfecho… para maximizar a recuperação</w:t>
      </w:r>
      <w:r>
        <w:t xml:space="preserve">”</w:t>
      </w:r>
      <w:r>
        <w:t xml:space="preserve">.</w:t>
      </w:r>
      <w:r>
        <w:t xml:space="preserve"> </w:t>
      </w:r>
      <w:r>
        <w:t xml:space="preserve">-</w:t>
      </w:r>
      <w:r>
        <w:t xml:space="preserve"> </w:t>
      </w:r>
      <w:r>
        <w:rPr>
          <w:bCs/>
          <w:b/>
        </w:rPr>
        <w:t xml:space="preserve">Sem filtro de idioma.</w:t>
      </w:r>
      <w:r>
        <w:t xml:space="preserve"> </w:t>
      </w:r>
      <w:r>
        <w:t xml:space="preserve">-</w:t>
      </w:r>
      <w:r>
        <w:t xml:space="preserve"> </w:t>
      </w:r>
      <w:r>
        <w:rPr>
          <w:bCs/>
          <w:b/>
        </w:rPr>
        <w:t xml:space="preserve">Sem restrição de data.</w:t>
      </w:r>
    </w:p>
    <w:p>
      <w:pPr>
        <w:pStyle w:val="BodyText"/>
      </w:pPr>
      <w:r>
        <w:t xml:space="preserve">E uma presença deliberada: o</w:t>
      </w:r>
      <w:r>
        <w:t xml:space="preserve"> </w:t>
      </w:r>
      <w:r>
        <w:rPr>
          <w:bCs/>
          <w:b/>
        </w:rPr>
        <w:t xml:space="preserve">filtro de estudos em humanos</w:t>
      </w:r>
      <w:r>
        <w:t xml:space="preserve"> </w:t>
      </w:r>
      <w:r>
        <w:t xml:space="preserve">aplicado</w:t>
      </w:r>
      <w:r>
        <w:t xml:space="preserve"> </w:t>
      </w:r>
      <w:r>
        <w:rPr>
          <w:bCs/>
          <w:b/>
        </w:rPr>
        <w:t xml:space="preserve">apenas no PubMed</w:t>
      </w:r>
      <w:r>
        <w:t xml:space="preserve"> </w:t>
      </w:r>
      <w:r>
        <w:t xml:space="preserve">(</w:t>
      </w:r>
      <w:r>
        <w:t xml:space="preserve">“</w:t>
      </w:r>
      <w:r>
        <w:t xml:space="preserve">humans</w:t>
      </w:r>
      <w:r>
        <w:t xml:space="preserve">”</w:t>
      </w:r>
      <w:r>
        <w:t xml:space="preserve">[MeSH Terms])</w:t>
      </w:r>
      <w:r>
        <w:t xml:space="preserve"> </w:t>
      </w:r>
      <w:r>
        <w:rPr>
          <w:bCs/>
          <w:b/>
        </w:rPr>
        <w:t xml:space="preserve">e na Embase</w:t>
      </w:r>
      <w:r>
        <w:t xml:space="preserve"> </w:t>
      </w:r>
      <w:r>
        <w:t xml:space="preserve">([humans]/lim). O Anexo A reconhece a limitação: esse filtro pode não recuperar registros muito recentes ainda não indexados.</w:t>
      </w:r>
      <w:r>
        <w:t xml:space="preserve"> </w:t>
      </w:r>
      <w:r>
        <w:rPr>
          <w:bCs/>
          <w:b/>
        </w:rPr>
        <w:t xml:space="preserve">(conhecimento geral)</w:t>
      </w:r>
      <w:r>
        <w:t xml:space="preserve"> </w:t>
      </w:r>
      <w:r>
        <w:t xml:space="preserve">Isso acontece porque a indexação por MeSH leva tempo; um artigo</w:t>
      </w:r>
      <w:r>
        <w:t xml:space="preserve"> </w:t>
      </w:r>
      <w:r>
        <w:t xml:space="preserve">“</w:t>
      </w:r>
      <w:r>
        <w:t xml:space="preserve">in process</w:t>
      </w:r>
      <w:r>
        <w:t xml:space="preserve">”</w:t>
      </w:r>
      <w:r>
        <w:t xml:space="preserve"> </w:t>
      </w:r>
      <w:r>
        <w:t xml:space="preserve">ainda não tem o termo</w:t>
      </w:r>
      <w:r>
        <w:t xml:space="preserve"> </w:t>
      </w:r>
      <w:r>
        <w:t xml:space="preserve">“</w:t>
      </w:r>
      <w:r>
        <w:t xml:space="preserve">Humans</w:t>
      </w:r>
      <w:r>
        <w:t xml:space="preserve">”</w:t>
      </w:r>
      <w:r>
        <w:t xml:space="preserve"> </w:t>
      </w:r>
      <w:r>
        <w:t xml:space="preserve">atribuído e fica invisível ao filtro.</w:t>
      </w:r>
    </w:p>
    <w:p>
      <w:pPr>
        <w:pStyle w:val="BodyText"/>
      </w:pPr>
      <w:r>
        <w:t xml:space="preserve">Detalhes de sintaxe que mostram domínio: no Scopus usou-se operador de proximidade</w:t>
      </w:r>
      <w:r>
        <w:t xml:space="preserve"> </w:t>
      </w:r>
      <w:r>
        <w:rPr>
          <w:bCs/>
          <w:b/>
        </w:rPr>
        <w:t xml:space="preserve">W/5</w:t>
      </w:r>
      <w:r>
        <w:t xml:space="preserve">, no Web of Science e no CENTRAL,</w:t>
      </w:r>
      <w:r>
        <w:t xml:space="preserve"> </w:t>
      </w:r>
      <w:r>
        <w:rPr>
          <w:bCs/>
          <w:b/>
        </w:rPr>
        <w:t xml:space="preserve">NEAR/5</w:t>
      </w:r>
      <w:r>
        <w:t xml:space="preserve">; nas bases latino-americanas (SciELO e BVS) a estratégia tem termos em português e espanhol (</w:t>
      </w:r>
      <w:r>
        <w:t xml:space="preserve">“</w:t>
      </w:r>
      <w:r>
        <w:t xml:space="preserve">fumaça cirúrgica</w:t>
      </w:r>
      <w:r>
        <w:t xml:space="preserve">”</w:t>
      </w:r>
      <w:r>
        <w:t xml:space="preserve">,</w:t>
      </w:r>
      <w:r>
        <w:t xml:space="preserve"> </w:t>
      </w:r>
      <w:r>
        <w:t xml:space="preserve">“</w:t>
      </w:r>
      <w:r>
        <w:t xml:space="preserve">pluma cirúrgica</w:t>
      </w:r>
      <w:r>
        <w:t xml:space="preserve">”</w:t>
      </w:r>
      <w:r>
        <w:t xml:space="preserve">,</w:t>
      </w:r>
      <w:r>
        <w:t xml:space="preserve"> </w:t>
      </w:r>
      <w:r>
        <w:t xml:space="preserve">“</w:t>
      </w:r>
      <w:r>
        <w:t xml:space="preserve">humo quirúrgico</w:t>
      </w:r>
      <w:r>
        <w:t xml:space="preserve">”</w:t>
      </w:r>
      <w:r>
        <w:t xml:space="preserve">,</w:t>
      </w:r>
      <w:r>
        <w:t xml:space="preserve"> </w:t>
      </w:r>
      <w:r>
        <w:t xml:space="preserve">“</w:t>
      </w:r>
      <w:r>
        <w:t xml:space="preserve">bisturi elétrico</w:t>
      </w:r>
      <w:r>
        <w:t xml:space="preserve">”</w:t>
      </w:r>
      <w:r>
        <w:t xml:space="preserve">,</w:t>
      </w:r>
      <w:r>
        <w:t xml:space="preserve"> </w:t>
      </w:r>
      <w:r>
        <w:t xml:space="preserve">“</w:t>
      </w:r>
      <w:r>
        <w:t xml:space="preserve">eletrocautério</w:t>
      </w:r>
      <w:r>
        <w:t xml:space="preserve">”</w:t>
      </w:r>
      <w:r>
        <w:t xml:space="preserve">). No</w:t>
      </w:r>
      <w:r>
        <w:t xml:space="preserve"> </w:t>
      </w:r>
      <w:r>
        <w:rPr>
          <w:bCs/>
          <w:b/>
        </w:rPr>
        <w:t xml:space="preserve">Google Scholar</w:t>
      </w:r>
      <w:r>
        <w:t xml:space="preserve">, foram quatro estratégias curtas (uma em inglês sobre saúde, uma em inglês sobre genotoxicidade e material particulado, uma em português e uma em espanhol); examinaram-se os</w:t>
      </w:r>
      <w:r>
        <w:t xml:space="preserve"> </w:t>
      </w:r>
      <w:r>
        <w:rPr>
          <w:bCs/>
          <w:b/>
        </w:rPr>
        <w:t xml:space="preserve">50 primeiros resultados de cada uma</w:t>
      </w:r>
      <w:r>
        <w:t xml:space="preserve">, 200 no total, dos quais</w:t>
      </w:r>
      <w:r>
        <w:t xml:space="preserve"> </w:t>
      </w:r>
      <w:r>
        <w:rPr>
          <w:bCs/>
          <w:b/>
        </w:rPr>
        <w:t xml:space="preserve">50 registros únicos</w:t>
      </w:r>
      <w:r>
        <w:t xml:space="preserve"> </w:t>
      </w:r>
      <w:r>
        <w:t xml:space="preserve">foram retidos após deduplicação interna.</w:t>
      </w:r>
    </w:p>
    <w:p>
      <w:pPr>
        <w:pStyle w:val="BlockText"/>
      </w:pPr>
      <w:r>
        <w:rPr>
          <w:bCs/>
          <w:b/>
        </w:rPr>
        <w:t xml:space="preserve">O que dizer se perguntarem (</w:t>
      </w:r>
      <w:r>
        <w:rPr>
          <w:bCs/>
          <w:b/>
        </w:rPr>
        <w:t xml:space="preserve">“</w:t>
      </w:r>
      <w:r>
        <w:rPr>
          <w:bCs/>
          <w:b/>
        </w:rPr>
        <w:t xml:space="preserve">por que a busca trouxe 16 mil registros?</w:t>
      </w:r>
      <w:r>
        <w:rPr>
          <w:bCs/>
          <w:b/>
        </w:rPr>
        <w:t xml:space="preserve">”</w:t>
      </w:r>
      <w:r>
        <w:rPr>
          <w:bCs/>
          <w:b/>
        </w:rPr>
        <w:t xml:space="preserve">):</w:t>
      </w:r>
      <w:r>
        <w:t xml:space="preserve"> </w:t>
      </w:r>
      <w:r>
        <w:t xml:space="preserve">“</w:t>
      </w:r>
      <w:r>
        <w:t xml:space="preserve">Porque a estratégia foi deliberadamente sensível: dois blocos, população e exposição, sem bloco de desfecho, sem filtro de idioma e sem filtro de data, em sete bases. Preferimos triar muito a perder um estudo; o custo foi ler 10.910 registros únicos.</w:t>
      </w:r>
      <w:r>
        <w:t xml:space="preserve">”</w:t>
      </w:r>
    </w:p>
    <w:bookmarkEnd w:id="54"/>
    <w:bookmarkStart w:id="55" w:name="números-por-base-anexo-b-e-os-dois-zeros"/>
    <w:p>
      <w:pPr>
        <w:pStyle w:val="Heading4"/>
      </w:pPr>
      <w:r>
        <w:t xml:space="preserve">3.3 Números por base (Anexo B) e os dois zeros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Registros</w:t>
            </w:r>
          </w:p>
        </w:tc>
      </w:tr>
      <w:tr>
        <w:tc>
          <w:tcPr/>
          <w:p>
            <w:pPr>
              <w:pStyle w:val="Compact"/>
              <w:jc w:val="left"/>
            </w:pPr>
            <w:r>
              <w:t xml:space="preserve">PubMed/MEDLINE</w:t>
            </w:r>
          </w:p>
        </w:tc>
        <w:tc>
          <w:tcPr/>
          <w:p>
            <w:pPr>
              <w:pStyle w:val="Compact"/>
              <w:jc w:val="left"/>
            </w:pPr>
            <w:r>
              <w:t xml:space="preserve">4.522</w:t>
            </w:r>
          </w:p>
        </w:tc>
      </w:tr>
      <w:tr>
        <w:tc>
          <w:tcPr/>
          <w:p>
            <w:pPr>
              <w:pStyle w:val="Compact"/>
              <w:jc w:val="left"/>
            </w:pPr>
            <w:r>
              <w:t xml:space="preserve">Embase</w:t>
            </w:r>
          </w:p>
        </w:tc>
        <w:tc>
          <w:tcPr/>
          <w:p>
            <w:pPr>
              <w:pStyle w:val="Compact"/>
              <w:jc w:val="left"/>
            </w:pPr>
            <w:r>
              <w:t xml:space="preserve">4.660</w:t>
            </w:r>
          </w:p>
        </w:tc>
      </w:tr>
      <w:tr>
        <w:tc>
          <w:tcPr/>
          <w:p>
            <w:pPr>
              <w:pStyle w:val="Compact"/>
              <w:jc w:val="left"/>
            </w:pPr>
            <w:r>
              <w:t xml:space="preserve">Web of Science</w:t>
            </w:r>
          </w:p>
        </w:tc>
        <w:tc>
          <w:tcPr/>
          <w:p>
            <w:pPr>
              <w:pStyle w:val="Compact"/>
              <w:jc w:val="left"/>
            </w:pPr>
            <w:r>
              <w:t xml:space="preserve">3.629</w:t>
            </w:r>
          </w:p>
        </w:tc>
      </w:tr>
      <w:tr>
        <w:tc>
          <w:tcPr/>
          <w:p>
            <w:pPr>
              <w:pStyle w:val="Compact"/>
              <w:jc w:val="left"/>
            </w:pPr>
            <w:r>
              <w:t xml:space="preserve">Scopus</w:t>
            </w:r>
          </w:p>
        </w:tc>
        <w:tc>
          <w:tcPr/>
          <w:p>
            <w:pPr>
              <w:pStyle w:val="Compact"/>
              <w:jc w:val="left"/>
            </w:pPr>
            <w:r>
              <w:t xml:space="preserve">2.639</w:t>
            </w:r>
          </w:p>
        </w:tc>
      </w:tr>
      <w:tr>
        <w:tc>
          <w:tcPr/>
          <w:p>
            <w:pPr>
              <w:pStyle w:val="Compact"/>
              <w:jc w:val="left"/>
            </w:pPr>
            <w:r>
              <w:t xml:space="preserve">BVS (LILACS/IBECS)</w:t>
            </w:r>
          </w:p>
        </w:tc>
        <w:tc>
          <w:tcPr/>
          <w:p>
            <w:pPr>
              <w:pStyle w:val="Compact"/>
              <w:jc w:val="left"/>
            </w:pPr>
            <w:r>
              <w:t xml:space="preserve">1.229</w:t>
            </w:r>
          </w:p>
        </w:tc>
      </w:tr>
      <w:tr>
        <w:tc>
          <w:tcPr/>
          <w:p>
            <w:pPr>
              <w:pStyle w:val="Compact"/>
              <w:jc w:val="left"/>
            </w:pPr>
            <w:r>
              <w:t xml:space="preserve">SciELO</w:t>
            </w:r>
          </w:p>
        </w:tc>
        <w:tc>
          <w:tcPr/>
          <w:p>
            <w:pPr>
              <w:pStyle w:val="Compact"/>
              <w:jc w:val="left"/>
            </w:pPr>
            <w:r>
              <w:t xml:space="preserve">28</w:t>
            </w:r>
          </w:p>
        </w:tc>
      </w:tr>
      <w:tr>
        <w:tc>
          <w:tcPr/>
          <w:p>
            <w:pPr>
              <w:pStyle w:val="Compact"/>
              <w:jc w:val="left"/>
            </w:pPr>
            <w:r>
              <w:t xml:space="preserve">Cochrane CENTRAL</w:t>
            </w:r>
          </w:p>
        </w:tc>
        <w:tc>
          <w:tcPr/>
          <w:p>
            <w:pPr>
              <w:pStyle w:val="Compact"/>
              <w:jc w:val="left"/>
            </w:pPr>
            <w:r>
              <w:t xml:space="preserve">0</w:t>
            </w:r>
          </w:p>
        </w:tc>
      </w:tr>
      <w:tr>
        <w:tc>
          <w:tcPr/>
          <w:p>
            <w:pPr>
              <w:pStyle w:val="Compact"/>
              <w:jc w:val="left"/>
            </w:pPr>
            <w:r>
              <w:t xml:space="preserve">Google Scholar (cinzenta)</w:t>
            </w:r>
          </w:p>
        </w:tc>
        <w:tc>
          <w:tcPr/>
          <w:p>
            <w:pPr>
              <w:pStyle w:val="Compact"/>
              <w:jc w:val="left"/>
            </w:pPr>
            <w:r>
              <w:t xml:space="preserve">50</w:t>
            </w:r>
          </w:p>
        </w:tc>
      </w:tr>
      <w:tr>
        <w:tc>
          <w:tcPr/>
          <w:p>
            <w:pPr>
              <w:pStyle w:val="Compact"/>
              <w:jc w:val="left"/>
            </w:pPr>
            <w:r>
              <w:t xml:space="preserve">Catálogo CAPES (cinzenta)</w:t>
            </w:r>
          </w:p>
        </w:tc>
        <w:tc>
          <w:tcPr/>
          <w:p>
            <w:pPr>
              <w:pStyle w:val="Compact"/>
              <w:jc w:val="left"/>
            </w:pPr>
            <w:r>
              <w:t xml:space="preserve">0</w:t>
            </w:r>
          </w:p>
        </w:tc>
      </w:tr>
      <w:tr>
        <w:tc>
          <w:tcPr/>
          <w:p>
            <w:pPr>
              <w:pStyle w:val="Compact"/>
              <w:jc w:val="left"/>
            </w:pPr>
            <w:r>
              <w:rPr>
                <w:bCs/>
                <w:b/>
              </w:rPr>
              <w:t xml:space="preserve">Total</w:t>
            </w:r>
          </w:p>
        </w:tc>
        <w:tc>
          <w:tcPr/>
          <w:p>
            <w:pPr>
              <w:pStyle w:val="Compact"/>
              <w:jc w:val="left"/>
            </w:pPr>
            <w:r>
              <w:rPr>
                <w:bCs/>
                <w:b/>
              </w:rPr>
              <w:t xml:space="preserve">16.757</w:t>
            </w:r>
          </w:p>
        </w:tc>
      </w:tr>
    </w:tbl>
    <w:p>
      <w:pPr>
        <w:pStyle w:val="BodyText"/>
      </w:pPr>
      <w:r>
        <w:t xml:space="preserve">As sete bases eletrônicas somam</w:t>
      </w:r>
      <w:r>
        <w:t xml:space="preserve"> </w:t>
      </w:r>
      <w:r>
        <w:rPr>
          <w:bCs/>
          <w:b/>
        </w:rPr>
        <w:t xml:space="preserve">16.707</w:t>
      </w:r>
      <w:r>
        <w:t xml:space="preserve">; com os 50 do Google Scholar,</w:t>
      </w:r>
      <w:r>
        <w:t xml:space="preserve"> </w:t>
      </w:r>
      <w:r>
        <w:rPr>
          <w:bCs/>
          <w:b/>
        </w:rPr>
        <w:t xml:space="preserve">16.757</w:t>
      </w:r>
      <w:r>
        <w:t xml:space="preserve">.</w:t>
      </w:r>
    </w:p>
    <w:p>
      <w:pPr>
        <w:pStyle w:val="BodyText"/>
      </w:pPr>
      <w:r>
        <w:rPr>
          <w:bCs/>
          <w:b/>
        </w:rPr>
        <w:t xml:space="preserve">Por que a CENTRAL deu zero:</w:t>
      </w:r>
      <w:r>
        <w:t xml:space="preserve"> </w:t>
      </w:r>
      <w:r>
        <w:t xml:space="preserve">o próprio Anexo B responde: a Cochrane CENTRAL é uma base voltada a</w:t>
      </w:r>
      <w:r>
        <w:t xml:space="preserve"> </w:t>
      </w:r>
      <w:r>
        <w:rPr>
          <w:bCs/>
          <w:b/>
        </w:rPr>
        <w:t xml:space="preserve">ensaios clínicos</w:t>
      </w:r>
      <w:r>
        <w:t xml:space="preserve">, e a revisão incluiu apenas estudos observacionais; zero era o esperado.</w:t>
      </w:r>
      <w:r>
        <w:t xml:space="preserve"> </w:t>
      </w:r>
      <w:r>
        <w:rPr>
          <w:bCs/>
          <w:b/>
        </w:rPr>
        <w:t xml:space="preserve">(conhecimento geral)</w:t>
      </w:r>
      <w:r>
        <w:t xml:space="preserve"> </w:t>
      </w:r>
      <w:r>
        <w:t xml:space="preserve">CENTRAL é o Cochrane Central Register of Controlled Trials; ela foi mantida na lista por completude e transparência, não porque se esperava achar alguma coisa.</w:t>
      </w:r>
    </w:p>
    <w:p>
      <w:pPr>
        <w:pStyle w:val="BodyText"/>
      </w:pPr>
      <w:r>
        <w:rPr>
          <w:bCs/>
          <w:b/>
        </w:rPr>
        <w:t xml:space="preserve">Por que a CAPES deu zero (e por que isso é interessante):</w:t>
      </w:r>
      <w:r>
        <w:t xml:space="preserve"> </w:t>
      </w:r>
      <w:r>
        <w:t xml:space="preserve">o Catálogo de Teses não retornou registros elegíveis, mas a tese brasileira de</w:t>
      </w:r>
      <w:r>
        <w:t xml:space="preserve"> </w:t>
      </w:r>
      <w:r>
        <w:rPr>
          <w:bCs/>
          <w:b/>
        </w:rPr>
        <w:t xml:space="preserve">Canicoba (2025)</w:t>
      </w:r>
      <w:r>
        <w:t xml:space="preserve">, que acabou incluída (biomarcadores urinários), foi recuperada</w:t>
      </w:r>
      <w:r>
        <w:t xml:space="preserve"> </w:t>
      </w:r>
      <w:r>
        <w:rPr>
          <w:bCs/>
          <w:b/>
        </w:rPr>
        <w:t xml:space="preserve">por outras vias</w:t>
      </w:r>
      <w:r>
        <w:t xml:space="preserve">: base eletrônica e busca por citação. O manuscrito interpreta isso como cobertura incompleta da fonte para o tema, e é um bom exemplo de por que a busca por citação existe.</w:t>
      </w:r>
    </w:p>
    <w:p>
      <w:pPr>
        <w:pStyle w:val="BlockText"/>
      </w:pPr>
      <w:r>
        <w:rPr>
          <w:bCs/>
          <w:b/>
        </w:rPr>
        <w:t xml:space="preserve">O que dizer se perguntarem (</w:t>
      </w:r>
      <w:r>
        <w:rPr>
          <w:bCs/>
          <w:b/>
        </w:rPr>
        <w:t xml:space="preserve">“</w:t>
      </w:r>
      <w:r>
        <w:rPr>
          <w:bCs/>
          <w:b/>
        </w:rPr>
        <w:t xml:space="preserve">a CENTRAL deu zero; a busca estava errada?</w:t>
      </w:r>
      <w:r>
        <w:rPr>
          <w:bCs/>
          <w:b/>
        </w:rPr>
        <w:t xml:space="preserve">”</w:t>
      </w:r>
      <w:r>
        <w:rPr>
          <w:bCs/>
          <w:b/>
        </w:rPr>
        <w:t xml:space="preserve">):</w:t>
      </w:r>
      <w:r>
        <w:t xml:space="preserve"> </w:t>
      </w:r>
      <w:r>
        <w:t xml:space="preserve">“</w:t>
      </w:r>
      <w:r>
        <w:t xml:space="preserve">Não. A CENTRAL indexa ensaios clínicos, e a revisão incluiu só estudos observacionais; o zero era esperado e está explicado no Anexo B. Mantivemos a base por transparência.</w:t>
      </w:r>
      <w:r>
        <w:t xml:space="preserve">”</w:t>
      </w:r>
    </w:p>
    <w:bookmarkEnd w:id="55"/>
    <w:bookmarkStart w:id="56" w:name="X93352b6f18b46bd09d31640613efed264064d34"/>
    <w:p>
      <w:pPr>
        <w:pStyle w:val="Heading4"/>
      </w:pPr>
      <w:r>
        <w:t xml:space="preserve">3.4 Gestão das referências e deduplicação (Zotero e Rayyan)</w:t>
      </w:r>
    </w:p>
    <w:p>
      <w:pPr>
        <w:pStyle w:val="FirstParagraph"/>
      </w:pPr>
      <w:r>
        <w:t xml:space="preserve">Fluxo: as referências foram gerenciadas no</w:t>
      </w:r>
      <w:r>
        <w:t xml:space="preserve"> </w:t>
      </w:r>
      <w:r>
        <w:rPr>
          <w:bCs/>
          <w:b/>
        </w:rPr>
        <w:t xml:space="preserve">Zotero 6</w:t>
      </w:r>
      <w:r>
        <w:t xml:space="preserve"> </w:t>
      </w:r>
      <w:r>
        <w:t xml:space="preserve">e importadas para a plataforma</w:t>
      </w:r>
      <w:r>
        <w:t xml:space="preserve"> </w:t>
      </w:r>
      <w:r>
        <w:rPr>
          <w:bCs/>
          <w:b/>
        </w:rPr>
        <w:t xml:space="preserve">Rayyan</w:t>
      </w:r>
      <w:r>
        <w:t xml:space="preserve"> </w:t>
      </w:r>
      <w:r>
        <w:t xml:space="preserve">(Ouzzani et al., 2016). A</w:t>
      </w:r>
      <w:r>
        <w:t xml:space="preserve"> </w:t>
      </w:r>
      <w:r>
        <w:rPr>
          <w:bCs/>
          <w:b/>
        </w:rPr>
        <w:t xml:space="preserve">deduplicação foi automatizada</w:t>
      </w:r>
      <w:r>
        <w:t xml:space="preserve"> </w:t>
      </w:r>
      <w:r>
        <w:t xml:space="preserve">por três chaves: correspondência de</w:t>
      </w:r>
      <w:r>
        <w:t xml:space="preserve"> </w:t>
      </w:r>
      <w:r>
        <w:rPr>
          <w:bCs/>
          <w:b/>
        </w:rPr>
        <w:t xml:space="preserve">DOI</w:t>
      </w:r>
      <w:r>
        <w:t xml:space="preserve">, de</w:t>
      </w:r>
      <w:r>
        <w:t xml:space="preserve"> </w:t>
      </w:r>
      <w:r>
        <w:rPr>
          <w:bCs/>
          <w:b/>
        </w:rPr>
        <w:t xml:space="preserve">identificador PubMed</w:t>
      </w:r>
      <w:r>
        <w:t xml:space="preserve"> </w:t>
      </w:r>
      <w:r>
        <w:t xml:space="preserve">e de</w:t>
      </w:r>
      <w:r>
        <w:t xml:space="preserve"> </w:t>
      </w:r>
      <w:r>
        <w:rPr>
          <w:bCs/>
          <w:b/>
        </w:rPr>
        <w:t xml:space="preserve">similaridade de título</w:t>
      </w:r>
      <w:r>
        <w:t xml:space="preserve">.</w:t>
      </w:r>
    </w:p>
    <w:p>
      <w:pPr>
        <w:pStyle w:val="BodyText"/>
      </w:pPr>
      <w:r>
        <w:t xml:space="preserve">Os números: 16.757 identificados;</w:t>
      </w:r>
      <w:r>
        <w:t xml:space="preserve"> </w:t>
      </w:r>
      <w:r>
        <w:rPr>
          <w:bCs/>
          <w:b/>
        </w:rPr>
        <w:t xml:space="preserve">8 não puderam ser exportados</w:t>
      </w:r>
      <w:r>
        <w:t xml:space="preserve">;</w:t>
      </w:r>
      <w:r>
        <w:t xml:space="preserve"> </w:t>
      </w:r>
      <w:r>
        <w:rPr>
          <w:bCs/>
          <w:b/>
        </w:rPr>
        <w:t xml:space="preserve">16.749</w:t>
      </w:r>
      <w:r>
        <w:t xml:space="preserve"> </w:t>
      </w:r>
      <w:r>
        <w:t xml:space="preserve">submetidos à deduplicação;</w:t>
      </w:r>
      <w:r>
        <w:t xml:space="preserve"> </w:t>
      </w:r>
      <w:r>
        <w:rPr>
          <w:bCs/>
          <w:b/>
        </w:rPr>
        <w:t xml:space="preserve">5.839 duplicatas</w:t>
      </w:r>
      <w:r>
        <w:t xml:space="preserve"> </w:t>
      </w:r>
      <w:r>
        <w:t xml:space="preserve">removidas;</w:t>
      </w:r>
      <w:r>
        <w:t xml:space="preserve"> </w:t>
      </w:r>
      <w:r>
        <w:rPr>
          <w:bCs/>
          <w:b/>
        </w:rPr>
        <w:t xml:space="preserve">10.910 registros únicos</w:t>
      </w:r>
      <w:r>
        <w:t xml:space="preserve">. (Cálculo a partir desses números: cerca de 35% dos registros eram duplicatas, o que é coerente com a sobreposição entre PubMed, Embase, Scopus e WoS.)</w:t>
      </w:r>
    </w:p>
    <w:p>
      <w:pPr>
        <w:pStyle w:val="BodyText"/>
      </w:pPr>
      <w:r>
        <w:rPr>
          <w:bCs/>
          <w:b/>
        </w:rPr>
        <w:t xml:space="preserve">(conhecimento geral)</w:t>
      </w:r>
      <w:r>
        <w:t xml:space="preserve"> </w:t>
      </w:r>
      <w:r>
        <w:t xml:space="preserve">Zotero é um gerenciador de referências; Rayyan é uma plataforma web de triagem para revisões sistemáticas, com deduplicação e registro de decisões de inclusão/exclusão.</w:t>
      </w:r>
    </w:p>
    <w:bookmarkEnd w:id="56"/>
    <w:bookmarkStart w:id="57" w:name="X45862b0358a5e9b8397865995aab3e042030b57"/>
    <w:p>
      <w:pPr>
        <w:pStyle w:val="Heading4"/>
      </w:pPr>
      <w:r>
        <w:t xml:space="preserve">3.5 Triagem: revisor único, script em Python e papel da IA</w:t>
      </w:r>
    </w:p>
    <w:p>
      <w:pPr>
        <w:pStyle w:val="FirstParagraph"/>
      </w:pPr>
      <w:r>
        <w:rPr>
          <w:bCs/>
          <w:b/>
        </w:rPr>
        <w:t xml:space="preserve">Quem triou:</w:t>
      </w:r>
      <w:r>
        <w:t xml:space="preserve"> </w:t>
      </w:r>
      <w:r>
        <w:t xml:space="preserve">a triagem de título e resumo foi feita por</w:t>
      </w:r>
      <w:r>
        <w:t xml:space="preserve"> </w:t>
      </w:r>
      <w:r>
        <w:rPr>
          <w:bCs/>
          <w:b/>
        </w:rPr>
        <w:t xml:space="preserve">um único revisor, o primeiro autor</w:t>
      </w:r>
      <w:r>
        <w:t xml:space="preserve">, que avaliou</w:t>
      </w:r>
      <w:r>
        <w:t xml:space="preserve"> </w:t>
      </w:r>
      <w:r>
        <w:rPr>
          <w:bCs/>
          <w:b/>
        </w:rPr>
        <w:t xml:space="preserve">individualmente todos os 10.910 registros</w:t>
      </w:r>
      <w:r>
        <w:t xml:space="preserve">. O mesmo revisor fez a leitura de texto completo, a extração, o risco de viés e os julgamentos GRADE,</w:t>
      </w:r>
      <w:r>
        <w:t xml:space="preserve"> </w:t>
      </w:r>
      <w:r>
        <w:t xml:space="preserve">“</w:t>
      </w:r>
      <w:r>
        <w:t xml:space="preserve">com registro padronizado das decisões e justificativas</w:t>
      </w:r>
      <w:r>
        <w:t xml:space="preserve">”</w:t>
      </w:r>
      <w:r>
        <w:t xml:space="preserve">. O manuscrito</w:t>
      </w:r>
      <w:r>
        <w:t xml:space="preserve"> </w:t>
      </w:r>
      <w:r>
        <w:rPr>
          <w:bCs/>
          <w:b/>
        </w:rPr>
        <w:t xml:space="preserve">reconhece como limitação</w:t>
      </w:r>
      <w:r>
        <w:t xml:space="preserve"> </w:t>
      </w:r>
      <w:r>
        <w:t xml:space="preserve">a ausência de avaliação independente em duplicata, e repete isso nas Limitações e no Anexo E (o JBI recomenda dois avaliadores).</w:t>
      </w:r>
    </w:p>
    <w:p>
      <w:pPr>
        <w:pStyle w:val="BodyText"/>
      </w:pPr>
      <w:r>
        <w:rPr>
          <w:bCs/>
          <w:b/>
        </w:rPr>
        <w:t xml:space="preserve">O que o script em Python fez:</w:t>
      </w:r>
      <w:r>
        <w:t xml:space="preserve"> </w:t>
      </w:r>
      <w:r>
        <w:t xml:space="preserve">uma</w:t>
      </w:r>
      <w:r>
        <w:t xml:space="preserve"> </w:t>
      </w:r>
      <w:r>
        <w:rPr>
          <w:bCs/>
          <w:b/>
        </w:rPr>
        <w:t xml:space="preserve">classificação automatizada com regras baseadas em palavras-chave alinhadas aos critérios de elegibilidade</w:t>
      </w:r>
      <w:r>
        <w:t xml:space="preserve"> </w:t>
      </w:r>
      <w:r>
        <w:t xml:space="preserve">(disponível no repositório do OSF), usada</w:t>
      </w:r>
      <w:r>
        <w:t xml:space="preserve"> </w:t>
      </w:r>
      <w:r>
        <w:rPr>
          <w:bCs/>
          <w:b/>
        </w:rPr>
        <w:t xml:space="preserve">apenas para priorizar a ordem de leitura</w:t>
      </w:r>
      <w:r>
        <w:t xml:space="preserve">,</w:t>
      </w:r>
      <w:r>
        <w:t xml:space="preserve"> </w:t>
      </w:r>
      <w:r>
        <w:t xml:space="preserve">“</w:t>
      </w:r>
      <w:r>
        <w:t xml:space="preserve">sem substituir a avaliação humana nem decidir a elegibilidade</w:t>
      </w:r>
      <w:r>
        <w:t xml:space="preserve">”</w:t>
      </w:r>
      <w:r>
        <w:t xml:space="preserve">. Ou seja: o script reordenou a fila; os registros mais prováveis ficaram no começo, mas</w:t>
      </w:r>
      <w:r>
        <w:t xml:space="preserve"> </w:t>
      </w:r>
      <w:r>
        <w:rPr>
          <w:bCs/>
          <w:b/>
        </w:rPr>
        <w:t xml:space="preserve">todos</w:t>
      </w:r>
      <w:r>
        <w:t xml:space="preserve"> </w:t>
      </w:r>
      <w:r>
        <w:t xml:space="preserve">foram lidos.</w:t>
      </w:r>
    </w:p>
    <w:p>
      <w:pPr>
        <w:pStyle w:val="BodyText"/>
      </w:pPr>
      <w:r>
        <w:rPr>
          <w:bCs/>
          <w:b/>
        </w:rPr>
        <w:t xml:space="preserve">O que a IA fez:</w:t>
      </w:r>
      <w:r>
        <w:t xml:space="preserve"> </w:t>
      </w:r>
      <w:r>
        <w:t xml:space="preserve">um assistente baseado em modelo de linguagem (</w:t>
      </w:r>
      <w:r>
        <w:rPr>
          <w:bCs/>
          <w:b/>
        </w:rPr>
        <w:t xml:space="preserve">Claude Opus, da Anthropic</w:t>
      </w:r>
      <w:r>
        <w:t xml:space="preserve">, usado entre</w:t>
      </w:r>
      <w:r>
        <w:t xml:space="preserve"> </w:t>
      </w:r>
      <w:r>
        <w:rPr>
          <w:bCs/>
          <w:b/>
        </w:rPr>
        <w:t xml:space="preserve">julho e agosto de 2026</w:t>
      </w:r>
      <w:r>
        <w:t xml:space="preserve">) apoiou a</w:t>
      </w:r>
      <w:r>
        <w:t xml:space="preserve"> </w:t>
      </w:r>
      <w:r>
        <w:rPr>
          <w:bCs/>
          <w:b/>
        </w:rPr>
        <w:t xml:space="preserve">priorização da ordem de leitura</w:t>
      </w:r>
      <w:r>
        <w:t xml:space="preserve"> </w:t>
      </w:r>
      <w:r>
        <w:t xml:space="preserve">na triagem, de forma</w:t>
      </w:r>
      <w:r>
        <w:t xml:space="preserve"> </w:t>
      </w:r>
      <w:r>
        <w:rPr>
          <w:bCs/>
          <w:b/>
        </w:rPr>
        <w:t xml:space="preserve">complementar</w:t>
      </w:r>
      <w:r>
        <w:t xml:space="preserve"> </w:t>
      </w:r>
      <w:r>
        <w:t xml:space="preserve">ao script de palavras-chave, além da leitura assistida de resumos e da organização do fluxo de trabalho. O manuscrito enquadra isso como abordagem análoga às ferramentas de revisão assistida por IA (Van de Schoot et al., 2021). As ferramentas tiveram função</w:t>
      </w:r>
      <w:r>
        <w:t xml:space="preserve"> </w:t>
      </w:r>
      <w:r>
        <w:rPr>
          <w:bCs/>
          <w:b/>
        </w:rPr>
        <w:t xml:space="preserve">exclusivamente operacional</w:t>
      </w:r>
      <w:r>
        <w:t xml:space="preserve">: as decisões de elegibilidade, a extração, a interpretação e a redação foram dos autores, e nenhum conteúdo gerado por IA foi incorporado sem verificação humana. O uso segue a</w:t>
      </w:r>
      <w:r>
        <w:t xml:space="preserve"> </w:t>
      </w:r>
      <w:r>
        <w:rPr>
          <w:bCs/>
          <w:b/>
        </w:rPr>
        <w:t xml:space="preserve">Política de Integridade na Atividade Científica do CNPq (Portaria CNPq nº 2.664, de 6 de março de 2026)</w:t>
      </w:r>
      <w:r>
        <w:t xml:space="preserve">, e os registros de uso estão no repositório do OSF (osf.io/jktmn).</w:t>
      </w:r>
    </w:p>
    <w:p>
      <w:pPr>
        <w:pStyle w:val="BodyText"/>
      </w:pPr>
      <w:r>
        <w:rPr>
          <w:bCs/>
          <w:b/>
        </w:rPr>
        <w:t xml:space="preserve">Resultado da triagem:</w:t>
      </w:r>
      <w:r>
        <w:t xml:space="preserve"> </w:t>
      </w:r>
      <w:r>
        <w:rPr>
          <w:bCs/>
          <w:b/>
        </w:rPr>
        <w:t xml:space="preserve">10.882 excluídos</w:t>
      </w:r>
      <w:r>
        <w:t xml:space="preserve"> </w:t>
      </w:r>
      <w:r>
        <w:t xml:space="preserve">e</w:t>
      </w:r>
      <w:r>
        <w:t xml:space="preserve"> </w:t>
      </w:r>
      <w:r>
        <w:rPr>
          <w:bCs/>
          <w:b/>
        </w:rPr>
        <w:t xml:space="preserve">28 encaminhados</w:t>
      </w:r>
      <w:r>
        <w:t xml:space="preserve"> </w:t>
      </w:r>
      <w:r>
        <w:t xml:space="preserve">para texto completo. A</w:t>
      </w:r>
      <w:r>
        <w:t xml:space="preserve"> </w:t>
      </w:r>
      <w:r>
        <w:rPr>
          <w:bCs/>
          <w:b/>
        </w:rPr>
        <w:t xml:space="preserve">busca por citação avaliou 443 referências adicionais</w:t>
      </w:r>
      <w:r>
        <w:t xml:space="preserve">, das quais</w:t>
      </w:r>
      <w:r>
        <w:t xml:space="preserve"> </w:t>
      </w:r>
      <w:r>
        <w:rPr>
          <w:bCs/>
          <w:b/>
        </w:rPr>
        <w:t xml:space="preserve">4</w:t>
      </w:r>
      <w:r>
        <w:t xml:space="preserve"> </w:t>
      </w:r>
      <w:r>
        <w:t xml:space="preserve">foram para texto completo.</w:t>
      </w:r>
    </w:p>
    <w:p>
      <w:pPr>
        <w:pStyle w:val="BlockText"/>
      </w:pPr>
      <w:r>
        <w:rPr>
          <w:bCs/>
          <w:b/>
        </w:rPr>
        <w:t xml:space="preserve">O que dizer se perguntarem (</w:t>
      </w:r>
      <w:r>
        <w:rPr>
          <w:bCs/>
          <w:b/>
        </w:rPr>
        <w:t xml:space="preserve">“</w:t>
      </w:r>
      <w:r>
        <w:rPr>
          <w:bCs/>
          <w:b/>
        </w:rPr>
        <w:t xml:space="preserve">triagem por um revisor só não invalida a revisão?</w:t>
      </w:r>
      <w:r>
        <w:rPr>
          <w:bCs/>
          <w:b/>
        </w:rPr>
        <w:t xml:space="preserve">”</w:t>
      </w:r>
      <w:r>
        <w:rPr>
          <w:bCs/>
          <w:b/>
        </w:rPr>
        <w:t xml:space="preserve">):</w:t>
      </w:r>
      <w:r>
        <w:t xml:space="preserve"> </w:t>
      </w:r>
      <w:r>
        <w:t xml:space="preserve">“</w:t>
      </w:r>
      <w:r>
        <w:t xml:space="preserve">É a principal limitação metodológica do trabalho e está declarada no Resumo, nos Métodos, nas Limitações e no Anexo E. Mitigamos com registro padronizado de cada decisão e justificativa, e com leitura individual de todos os 10.910 registros. Em uma atualização, o passo natural é triagem em duplicata.</w:t>
      </w:r>
      <w:r>
        <w:t xml:space="preserve">”</w:t>
      </w:r>
    </w:p>
    <w:p>
      <w:pPr>
        <w:pStyle w:val="BlockText"/>
      </w:pPr>
      <w:r>
        <w:rPr>
          <w:bCs/>
          <w:b/>
        </w:rPr>
        <w:t xml:space="preserve">O que dizer se perguntarem (</w:t>
      </w:r>
      <w:r>
        <w:rPr>
          <w:bCs/>
          <w:b/>
        </w:rPr>
        <w:t xml:space="preserve">“</w:t>
      </w:r>
      <w:r>
        <w:rPr>
          <w:bCs/>
          <w:b/>
        </w:rPr>
        <w:t xml:space="preserve">a IA decidiu o que entrava?</w:t>
      </w:r>
      <w:r>
        <w:rPr>
          <w:bCs/>
          <w:b/>
        </w:rPr>
        <w:t xml:space="preserve">”</w:t>
      </w:r>
      <w:r>
        <w:rPr>
          <w:bCs/>
          <w:b/>
        </w:rPr>
        <w:t xml:space="preserve">):</w:t>
      </w:r>
      <w:r>
        <w:t xml:space="preserve"> </w:t>
      </w:r>
      <w:r>
        <w:t xml:space="preserve">“</w:t>
      </w:r>
      <w:r>
        <w:t xml:space="preserve">Não. O script de palavras-chave e o assistente de IA só reordenaram a fila de leitura; todos os registros foram lidos e cada decisão de elegibilidade foi humana. O uso está declarado, segue a Portaria CNPq 2.664/2026 e os registros estão no OSF.</w:t>
      </w:r>
      <w:r>
        <w:t xml:space="preserve">”</w:t>
      </w:r>
    </w:p>
    <w:bookmarkEnd w:id="57"/>
    <w:bookmarkStart w:id="58" w:name="leitura-na-íntegra"/>
    <w:p>
      <w:pPr>
        <w:pStyle w:val="Heading4"/>
      </w:pPr>
      <w:r>
        <w:t xml:space="preserve">3.6 Leitura na íntegra</w:t>
      </w:r>
    </w:p>
    <w:p>
      <w:pPr>
        <w:pStyle w:val="FirstParagraph"/>
      </w:pPr>
      <w:r>
        <w:t xml:space="preserve">Ao todo,</w:t>
      </w:r>
      <w:r>
        <w:t xml:space="preserve"> </w:t>
      </w:r>
      <w:r>
        <w:rPr>
          <w:bCs/>
          <w:b/>
        </w:rPr>
        <w:t xml:space="preserve">32 relatórios</w:t>
      </w:r>
      <w:r>
        <w:t xml:space="preserve"> </w:t>
      </w:r>
      <w:r>
        <w:t xml:space="preserve">foram buscados para texto completo (28 da triagem + 4 da busca por citação).</w:t>
      </w:r>
      <w:r>
        <w:t xml:space="preserve"> </w:t>
      </w:r>
      <w:r>
        <w:rPr>
          <w:bCs/>
          <w:b/>
        </w:rPr>
        <w:t xml:space="preserve">6 não foram recuperados</w:t>
      </w:r>
      <w:r>
        <w:t xml:space="preserve">, todos oriundos das bases eletrônicas ou da literatura cinzenta; os 4 da busca por citação foram recuperados.</w:t>
      </w:r>
      <w:r>
        <w:t xml:space="preserve"> </w:t>
      </w:r>
      <w:r>
        <w:rPr>
          <w:bCs/>
          <w:b/>
        </w:rPr>
        <w:t xml:space="preserve">26 foram avaliados</w:t>
      </w:r>
      <w:r>
        <w:t xml:space="preserve"> </w:t>
      </w:r>
      <w:r>
        <w:t xml:space="preserve">na íntegra com os critérios definitivos, registrando-se o motivo de cada exclusão;</w:t>
      </w:r>
      <w:r>
        <w:t xml:space="preserve"> </w:t>
      </w:r>
      <w:r>
        <w:rPr>
          <w:bCs/>
          <w:b/>
        </w:rPr>
        <w:t xml:space="preserve">4 foram excluídos</w:t>
      </w:r>
      <w:r>
        <w:t xml:space="preserve"> </w:t>
      </w:r>
      <w:r>
        <w:t xml:space="preserve">(os do item 2.4) e</w:t>
      </w:r>
      <w:r>
        <w:t xml:space="preserve"> </w:t>
      </w:r>
      <w:r>
        <w:rPr>
          <w:bCs/>
          <w:b/>
        </w:rPr>
        <w:t xml:space="preserve">22 foram incluídos</w:t>
      </w:r>
      <w:r>
        <w:t xml:space="preserve">. O fluxograma PRISMA 2020 é a Figura 1.</w:t>
      </w:r>
    </w:p>
    <w:p>
      <w:pPr>
        <w:pStyle w:val="BodyText"/>
      </w:pPr>
      <w:r>
        <w:t xml:space="preserve">Cadeia completa para falar de cabeça: 16.757 → 8 não exportados → 16.749 → 5.839 duplicatas → 10.910 triados → 10.882 excluídos → 28 (+ 4 da citação) = 32 buscados → 6 não recuperados → 26 avaliados → 4 excluídos →</w:t>
      </w:r>
      <w:r>
        <w:t xml:space="preserve"> </w:t>
      </w:r>
      <w:r>
        <w:rPr>
          <w:bCs/>
          <w:b/>
        </w:rPr>
        <w:t xml:space="preserve">22 incluídos</w:t>
      </w:r>
      <w:r>
        <w:t xml:space="preserve">.</w:t>
      </w:r>
    </w:p>
    <w:bookmarkEnd w:id="58"/>
    <w:bookmarkStart w:id="59" w:name="Xbdb1e585af3fdd71a87ce0b840e273a774caa1f"/>
    <w:p>
      <w:pPr>
        <w:pStyle w:val="Heading4"/>
      </w:pPr>
      <w:r>
        <w:t xml:space="preserve">3.7 Relatórios não recuperados: quais e o que foi tentado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Relatório</w:t>
            </w:r>
          </w:p>
        </w:tc>
        <w:tc>
          <w:tcPr/>
          <w:p>
            <w:pPr>
              <w:pStyle w:val="Compact"/>
              <w:jc w:val="left"/>
            </w:pPr>
            <w:r>
              <w:t xml:space="preserve">Base de origem</w:t>
            </w:r>
          </w:p>
        </w:tc>
        <w:tc>
          <w:tcPr/>
          <w:p>
            <w:pPr>
              <w:pStyle w:val="Compact"/>
              <w:jc w:val="left"/>
            </w:pPr>
            <w:r>
              <w:t xml:space="preserve">Situação</w:t>
            </w:r>
          </w:p>
        </w:tc>
      </w:tr>
      <w:tr>
        <w:tc>
          <w:tcPr/>
          <w:p>
            <w:pPr>
              <w:pStyle w:val="Compact"/>
              <w:jc w:val="left"/>
            </w:pPr>
            <w:r>
              <w:t xml:space="preserve">Navarro-Meza et al., 2013 (sintomas respiratórios, México; Rev Peru Med Exp Salud Publica)</w:t>
            </w:r>
          </w:p>
        </w:tc>
        <w:tc>
          <w:tcPr/>
          <w:p>
            <w:pPr>
              <w:pStyle w:val="Compact"/>
              <w:jc w:val="left"/>
            </w:pPr>
            <w:r>
              <w:t xml:space="preserve">SciELO</w:t>
            </w:r>
          </w:p>
        </w:tc>
        <w:tc>
          <w:tcPr/>
          <w:p>
            <w:pPr>
              <w:pStyle w:val="Compact"/>
              <w:jc w:val="left"/>
            </w:pPr>
            <w:r>
              <w:t xml:space="preserve">Texto completo não acessível</w:t>
            </w:r>
          </w:p>
        </w:tc>
      </w:tr>
      <w:tr>
        <w:tc>
          <w:tcPr/>
          <w:p>
            <w:pPr>
              <w:pStyle w:val="Compact"/>
              <w:jc w:val="left"/>
            </w:pPr>
            <w:r>
              <w:t xml:space="preserve">Ekicier Acar; Özdemir Yıldız, 2024 (olho seco; Clin Exp Optom)</w:t>
            </w:r>
          </w:p>
        </w:tc>
        <w:tc>
          <w:tcPr/>
          <w:p>
            <w:pPr>
              <w:pStyle w:val="Compact"/>
              <w:jc w:val="left"/>
            </w:pPr>
            <w:r>
              <w:t xml:space="preserve">Scopus/WoS</w:t>
            </w:r>
          </w:p>
        </w:tc>
        <w:tc>
          <w:tcPr/>
          <w:p>
            <w:pPr>
              <w:pStyle w:val="Compact"/>
              <w:jc w:val="left"/>
            </w:pPr>
            <w:r>
              <w:t xml:space="preserve">Não obtido apesar das tentativas</w:t>
            </w:r>
          </w:p>
        </w:tc>
      </w:tr>
      <w:tr>
        <w:tc>
          <w:tcPr/>
          <w:p>
            <w:pPr>
              <w:pStyle w:val="Compact"/>
              <w:jc w:val="left"/>
            </w:pPr>
            <w:r>
              <w:t xml:space="preserve">Gjini et al., 2025 (equipe de sala de operação, Itália; Work)</w:t>
            </w:r>
          </w:p>
        </w:tc>
        <w:tc>
          <w:tcPr/>
          <w:p>
            <w:pPr>
              <w:pStyle w:val="Compact"/>
              <w:jc w:val="left"/>
            </w:pPr>
            <w:r>
              <w:t xml:space="preserve">Scopus</w:t>
            </w:r>
          </w:p>
        </w:tc>
        <w:tc>
          <w:tcPr/>
          <w:p>
            <w:pPr>
              <w:pStyle w:val="Compact"/>
              <w:jc w:val="left"/>
            </w:pPr>
            <w:r>
              <w:t xml:space="preserve">Não obtido apesar das tentativas</w:t>
            </w:r>
          </w:p>
        </w:tc>
      </w:tr>
      <w:tr>
        <w:tc>
          <w:tcPr/>
          <w:p>
            <w:pPr>
              <w:pStyle w:val="Compact"/>
              <w:jc w:val="left"/>
            </w:pPr>
            <w:r>
              <w:t xml:space="preserve">Gezer; Bozkul, 2024 (equipe de sala de operação, Turquia; ANZ J Surg)</w:t>
            </w:r>
          </w:p>
        </w:tc>
        <w:tc>
          <w:tcPr/>
          <w:p>
            <w:pPr>
              <w:pStyle w:val="Compact"/>
              <w:jc w:val="left"/>
            </w:pPr>
            <w:r>
              <w:t xml:space="preserve">PubMed</w:t>
            </w:r>
          </w:p>
        </w:tc>
        <w:tc>
          <w:tcPr/>
          <w:p>
            <w:pPr>
              <w:pStyle w:val="Compact"/>
              <w:jc w:val="left"/>
            </w:pPr>
            <w:r>
              <w:t xml:space="preserve">Não obtido apesar das tentativas</w:t>
            </w:r>
          </w:p>
        </w:tc>
      </w:tr>
      <w:tr>
        <w:tc>
          <w:tcPr/>
          <w:p>
            <w:pPr>
              <w:pStyle w:val="Compact"/>
              <w:jc w:val="left"/>
            </w:pPr>
            <w:r>
              <w:t xml:space="preserve">“</w:t>
            </w:r>
            <w:r>
              <w:t xml:space="preserve">Práticas de proteção</w:t>
            </w:r>
            <w:r>
              <w:t xml:space="preserve">”</w:t>
            </w:r>
            <w:r>
              <w:t xml:space="preserve">, 2023 (Int J Life Sci Biotechnol Pharma Res)</w:t>
            </w:r>
          </w:p>
        </w:tc>
        <w:tc>
          <w:tcPr/>
          <w:p>
            <w:pPr>
              <w:pStyle w:val="Compact"/>
              <w:jc w:val="left"/>
            </w:pPr>
            <w:r>
              <w:t xml:space="preserve">Google Scholar</w:t>
            </w:r>
          </w:p>
        </w:tc>
        <w:tc>
          <w:tcPr/>
          <w:p>
            <w:pPr>
              <w:pStyle w:val="Compact"/>
              <w:jc w:val="left"/>
            </w:pPr>
            <w:r>
              <w:t xml:space="preserve">Texto completo não localizado</w:t>
            </w:r>
          </w:p>
        </w:tc>
      </w:tr>
      <w:tr>
        <w:tc>
          <w:tcPr/>
          <w:p>
            <w:pPr>
              <w:pStyle w:val="Compact"/>
              <w:jc w:val="left"/>
            </w:pPr>
            <w:r>
              <w:t xml:space="preserve">Haddadin et al., 2021 (aerossol pediátrico e SARS-CoV-2; Am Surg)</w:t>
            </w:r>
          </w:p>
        </w:tc>
        <w:tc>
          <w:tcPr/>
          <w:p>
            <w:pPr>
              <w:pStyle w:val="Compact"/>
              <w:jc w:val="left"/>
            </w:pPr>
            <w:r>
              <w:t xml:space="preserve">PubMed</w:t>
            </w:r>
          </w:p>
        </w:tc>
        <w:tc>
          <w:tcPr/>
          <w:p>
            <w:pPr>
              <w:pStyle w:val="Compact"/>
              <w:jc w:val="left"/>
            </w:pPr>
            <w:r>
              <w:t xml:space="preserve">Não obtido apesar das tentativas</w:t>
            </w:r>
          </w:p>
        </w:tc>
      </w:tr>
    </w:tbl>
    <w:p>
      <w:pPr>
        <w:pStyle w:val="BodyText"/>
      </w:pPr>
      <w:r>
        <w:rPr>
          <w:bCs/>
          <w:b/>
        </w:rPr>
        <w:t xml:space="preserve">O que foi tentado, para todos os seis:</w:t>
      </w:r>
      <w:r>
        <w:t xml:space="preserve"> </w:t>
      </w:r>
      <w:r>
        <w:t xml:space="preserve">acesso institucional, repositórios e bases de preprints, páginas dos autores, comutação bibliográfica e contato com os autores correspondentes quando havia endereço disponível, sem sucesso.</w:t>
      </w:r>
    </w:p>
    <w:p>
      <w:pPr>
        <w:pStyle w:val="BodyText"/>
      </w:pPr>
      <w:r>
        <w:rPr>
          <w:bCs/>
          <w:b/>
        </w:rPr>
        <w:t xml:space="preserve">Impacto declarado:</w:t>
      </w:r>
      <w:r>
        <w:t xml:space="preserve"> </w:t>
      </w:r>
      <w:r>
        <w:t xml:space="preserve">como dois deles são inquéritos de sintomas (Navarro-Meza 2013; Gjini 2025) e um é estudo objetivo (olho seco), a ausência pode ter afetado a estimativa de prevalência; isso é tratado como limitação, e os seis não recuperados também pesam na apreciação qualitativa do viés de relato.</w:t>
      </w:r>
    </w:p>
    <w:p>
      <w:pPr>
        <w:pStyle w:val="BodyText"/>
      </w:pPr>
      <w:r>
        <w:rPr>
          <w:bCs/>
          <w:b/>
        </w:rPr>
        <w:t xml:space="preserve">Cuidado com uma aparente contradição:</w:t>
      </w:r>
      <w:r>
        <w:t xml:space="preserve"> </w:t>
      </w:r>
      <w:r>
        <w:t xml:space="preserve">nos Métodos (Extração) está escrito que</w:t>
      </w:r>
      <w:r>
        <w:t xml:space="preserve"> </w:t>
      </w:r>
      <w:r>
        <w:t xml:space="preserve">“</w:t>
      </w:r>
      <w:r>
        <w:t xml:space="preserve">não se contataram os autores dos estudos para obtenção de dados adicionais</w:t>
      </w:r>
      <w:r>
        <w:t xml:space="preserve">”</w:t>
      </w:r>
      <w:r>
        <w:t xml:space="preserve">; no Anexo C, que houve contato com autores correspondentes. Não é contradição: o contato foi para</w:t>
      </w:r>
      <w:r>
        <w:t xml:space="preserve"> </w:t>
      </w:r>
      <w:r>
        <w:rPr>
          <w:bCs/>
          <w:b/>
        </w:rPr>
        <w:t xml:space="preserve">obter o texto completo</w:t>
      </w:r>
      <w:r>
        <w:t xml:space="preserve"> </w:t>
      </w:r>
      <w:r>
        <w:t xml:space="preserve">dos não recuperados, e não para</w:t>
      </w:r>
      <w:r>
        <w:t xml:space="preserve"> </w:t>
      </w:r>
      <w:r>
        <w:rPr>
          <w:bCs/>
          <w:b/>
        </w:rPr>
        <w:t xml:space="preserve">pedir dados extras</w:t>
      </w:r>
      <w:r>
        <w:t xml:space="preserve"> </w:t>
      </w:r>
      <w:r>
        <w:t xml:space="preserve">de estudos incluídos (por exemplo, o numerador ocular de Van Giersbergen 2019). Responda exatamente assim se perguntarem.</w:t>
      </w:r>
    </w:p>
    <w:p>
      <w:pPr>
        <w:pStyle w:val="BlockText"/>
      </w:pPr>
      <w:r>
        <w:rPr>
          <w:bCs/>
          <w:b/>
        </w:rPr>
        <w:t xml:space="preserve">O que dizer se perguntarem (</w:t>
      </w:r>
      <w:r>
        <w:rPr>
          <w:bCs/>
          <w:b/>
        </w:rPr>
        <w:t xml:space="preserve">“</w:t>
      </w:r>
      <w:r>
        <w:rPr>
          <w:bCs/>
          <w:b/>
        </w:rPr>
        <w:t xml:space="preserve">seis estudos não recuperados é muito</w:t>
      </w:r>
      <w:r>
        <w:rPr>
          <w:bCs/>
          <w:b/>
        </w:rPr>
        <w:t xml:space="preserve">”</w:t>
      </w:r>
      <w:r>
        <w:rPr>
          <w:bCs/>
          <w:b/>
        </w:rPr>
        <w:t xml:space="preserve">):</w:t>
      </w:r>
      <w:r>
        <w:t xml:space="preserve"> </w:t>
      </w:r>
      <w:r>
        <w:t xml:space="preserve">“</w:t>
      </w:r>
      <w:r>
        <w:t xml:space="preserve">Tentamos acesso institucional, repositórios e preprints, páginas dos autores, comutação bibliográfica e contato com autores correspondentes. Os seis estão listados com base e motivo no Anexo C, dois são inquéritos de sintomas, e o impacto está declarado como limitação e considerado na apreciação do viés de relato.</w:t>
      </w:r>
      <w:r>
        <w:t xml:space="preserve">”</w:t>
      </w:r>
    </w:p>
    <w:bookmarkEnd w:id="59"/>
    <w:bookmarkStart w:id="60" w:name="regra-do-sintoma-índice"/>
    <w:p>
      <w:pPr>
        <w:pStyle w:val="Heading4"/>
      </w:pPr>
      <w:r>
        <w:t xml:space="preserve">3.8 Regra do sintoma-índice</w:t>
      </w:r>
    </w:p>
    <w:p>
      <w:pPr>
        <w:pStyle w:val="FirstParagraph"/>
      </w:pPr>
      <w:r>
        <w:rPr>
          <w:bCs/>
          <w:b/>
        </w:rPr>
        <w:t xml:space="preserve">O problema:</w:t>
      </w:r>
      <w:r>
        <w:t xml:space="preserve"> </w:t>
      </w:r>
      <w:r>
        <w:t xml:space="preserve">os inquéritos relatam vários sintomas por via (olho: lacrimejamento, irritação, ardência; via aérea: tosse, ardência de garganta, irritação de vias aéreas superiores). Se cada estudo entrasse com o sintoma de maior prevalência, a metanálise seria inflada pela escolha.</w:t>
      </w:r>
    </w:p>
    <w:p>
      <w:pPr>
        <w:pStyle w:val="BodyText"/>
      </w:pPr>
      <w:r>
        <w:rPr>
          <w:bCs/>
          <w:b/>
        </w:rPr>
        <w:t xml:space="preserve">A regra:</w:t>
      </w:r>
      <w:r>
        <w:t xml:space="preserve"> </w:t>
      </w:r>
      <w:r>
        <w:t xml:space="preserve">cada agrupamento (ocular e respiratório) reuniu</w:t>
      </w:r>
      <w:r>
        <w:t xml:space="preserve"> </w:t>
      </w:r>
      <w:r>
        <w:rPr>
          <w:bCs/>
          <w:b/>
        </w:rPr>
        <w:t xml:space="preserve">o sintoma-índice autorrelatado conforme a definição de cada estudo</w:t>
      </w:r>
      <w:r>
        <w:t xml:space="preserve"> </w:t>
      </w:r>
      <w:r>
        <w:t xml:space="preserve">(Anexo D); quando um estudo relatava mais de um sintoma elegível para o mesmo agrupamento, adotou-se</w:t>
      </w:r>
      <w:r>
        <w:t xml:space="preserve"> </w:t>
      </w:r>
      <w:r>
        <w:rPr>
          <w:bCs/>
          <w:b/>
        </w:rPr>
        <w:t xml:space="preserve">o mais específico para a via correspondente</w:t>
      </w:r>
      <w:r>
        <w:t xml:space="preserve"> </w:t>
      </w:r>
      <w:r>
        <w:t xml:space="preserve">(lacrimejamento ou irritação ocular; tosse ou irritação de vias aéreas). A regra foi definida</w:t>
      </w:r>
      <w:r>
        <w:t xml:space="preserve"> </w:t>
      </w:r>
      <w:r>
        <w:rPr>
          <w:bCs/>
          <w:b/>
        </w:rPr>
        <w:t xml:space="preserve">durante a análise, após o protocolo</w:t>
      </w:r>
      <w:r>
        <w:t xml:space="preserve">, e, como já visto, de forma independente dos resultados de cada estudo. O período de recordatório raramente foi informado.</w:t>
      </w:r>
    </w:p>
    <w:p>
      <w:pPr>
        <w:pStyle w:val="BodyText"/>
      </w:pPr>
      <w:r>
        <w:rPr>
          <w:bCs/>
          <w:b/>
        </w:rPr>
        <w:t xml:space="preserve">Como ficou na prática (Anexo 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Estudo</w:t>
            </w:r>
          </w:p>
        </w:tc>
        <w:tc>
          <w:tcPr/>
          <w:p>
            <w:pPr>
              <w:pStyle w:val="Compact"/>
              <w:jc w:val="left"/>
            </w:pPr>
            <w:r>
              <w:t xml:space="preserve">Ocular (eventos/N; %)</w:t>
            </w:r>
          </w:p>
        </w:tc>
        <w:tc>
          <w:tcPr/>
          <w:p>
            <w:pPr>
              <w:pStyle w:val="Compact"/>
              <w:jc w:val="left"/>
            </w:pPr>
            <w:r>
              <w:t xml:space="preserve">Respiratório (eventos/N; %)</w:t>
            </w:r>
          </w:p>
        </w:tc>
      </w:tr>
      <w:tr>
        <w:tc>
          <w:tcPr/>
          <w:p>
            <w:pPr>
              <w:pStyle w:val="Compact"/>
              <w:jc w:val="left"/>
            </w:pPr>
            <w:r>
              <w:t xml:space="preserve">İlçe et al., 2017</w:t>
            </w:r>
          </w:p>
        </w:tc>
        <w:tc>
          <w:tcPr/>
          <w:p>
            <w:pPr>
              <w:pStyle w:val="Compact"/>
              <w:jc w:val="left"/>
            </w:pPr>
            <w:r>
              <w:t xml:space="preserve">Lacrimejamento durante a cirurgia: 33/81 (40,7)</w:t>
            </w:r>
          </w:p>
        </w:tc>
        <w:tc>
          <w:tcPr/>
          <w:p>
            <w:pPr>
              <w:pStyle w:val="Compact"/>
              <w:jc w:val="left"/>
            </w:pPr>
            <w:r>
              <w:t xml:space="preserve">Tosse: 32/81 (39,5)</w:t>
            </w:r>
          </w:p>
        </w:tc>
      </w:tr>
      <w:tr>
        <w:tc>
          <w:tcPr/>
          <w:p>
            <w:pPr>
              <w:pStyle w:val="Compact"/>
              <w:jc w:val="left"/>
            </w:pPr>
            <w:r>
              <w:t xml:space="preserve">Cinar; Sanlier, 2022</w:t>
            </w:r>
          </w:p>
        </w:tc>
        <w:tc>
          <w:tcPr/>
          <w:p>
            <w:pPr>
              <w:pStyle w:val="Compact"/>
              <w:jc w:val="left"/>
            </w:pPr>
            <w:r>
              <w:t xml:space="preserve">Irritação ocular: 46/82 (56,1)</w:t>
            </w:r>
          </w:p>
        </w:tc>
        <w:tc>
          <w:tcPr/>
          <w:p>
            <w:pPr>
              <w:pStyle w:val="Compact"/>
              <w:jc w:val="left"/>
            </w:pPr>
            <w:r>
              <w:t xml:space="preserve">Tosse e ardência de garganta: 17/82 (20,7)</w:t>
            </w:r>
          </w:p>
        </w:tc>
      </w:tr>
      <w:tr>
        <w:tc>
          <w:tcPr/>
          <w:p>
            <w:pPr>
              <w:pStyle w:val="Compact"/>
              <w:jc w:val="left"/>
            </w:pPr>
            <w:r>
              <w:t xml:space="preserve">Usta et al., 2019</w:t>
            </w:r>
          </w:p>
        </w:tc>
        <w:tc>
          <w:tcPr/>
          <w:p>
            <w:pPr>
              <w:pStyle w:val="Compact"/>
              <w:jc w:val="left"/>
            </w:pPr>
            <w:r>
              <w:t xml:space="preserve">Lacrimejamento: 57/105 (54,3)</w:t>
            </w:r>
          </w:p>
        </w:tc>
        <w:tc>
          <w:tcPr/>
          <w:p>
            <w:pPr>
              <w:pStyle w:val="Compact"/>
              <w:jc w:val="left"/>
            </w:pPr>
            <w:r>
              <w:t xml:space="preserve">Ardência de garganta: 43/105 (41,0)</w:t>
            </w:r>
          </w:p>
        </w:tc>
      </w:tr>
      <w:tr>
        <w:tc>
          <w:tcPr/>
          <w:p>
            <w:pPr>
              <w:pStyle w:val="Compact"/>
              <w:jc w:val="left"/>
            </w:pPr>
            <w:r>
              <w:t xml:space="preserve">Mohd Fikri Rosely, 2022 (resumo)</w:t>
            </w:r>
          </w:p>
        </w:tc>
        <w:tc>
          <w:tcPr/>
          <w:p>
            <w:pPr>
              <w:pStyle w:val="Compact"/>
              <w:jc w:val="left"/>
            </w:pPr>
            <w:r>
              <w:t xml:space="preserve">Irritação ocular: 38/196 (19,4)</w:t>
            </w:r>
          </w:p>
        </w:tc>
        <w:tc>
          <w:tcPr/>
          <w:p>
            <w:pPr>
              <w:pStyle w:val="Compact"/>
              <w:jc w:val="left"/>
            </w:pPr>
            <w:r>
              <w:t xml:space="preserve">Irritação de vias aéreas superiores: 72/196 (36,7)</w:t>
            </w:r>
          </w:p>
        </w:tc>
      </w:tr>
      <w:tr>
        <w:tc>
          <w:tcPr/>
          <w:p>
            <w:pPr>
              <w:pStyle w:val="Compact"/>
              <w:jc w:val="left"/>
            </w:pPr>
            <w:r>
              <w:t xml:space="preserve">Mohd Fikri Rosely; Titi Rahmawati, 2019</w:t>
            </w:r>
          </w:p>
        </w:tc>
        <w:tc>
          <w:tcPr/>
          <w:p>
            <w:pPr>
              <w:pStyle w:val="Compact"/>
              <w:jc w:val="left"/>
            </w:pPr>
            <w:r>
              <w:t xml:space="preserve">Irritação ocular: 28/137 (20,4)</w:t>
            </w:r>
          </w:p>
        </w:tc>
        <w:tc>
          <w:tcPr/>
          <w:p>
            <w:pPr>
              <w:pStyle w:val="Compact"/>
              <w:jc w:val="left"/>
            </w:pPr>
            <w:r>
              <w:t xml:space="preserve">Irritação de vias aéreas superiores: 55/137 (40,1)</w:t>
            </w:r>
          </w:p>
        </w:tc>
      </w:tr>
      <w:tr>
        <w:tc>
          <w:tcPr/>
          <w:p>
            <w:pPr>
              <w:pStyle w:val="Compact"/>
              <w:jc w:val="left"/>
            </w:pPr>
            <w:r>
              <w:t xml:space="preserve">Bieniek et al., 2022</w:t>
            </w:r>
          </w:p>
        </w:tc>
        <w:tc>
          <w:tcPr/>
          <w:p>
            <w:pPr>
              <w:pStyle w:val="Compact"/>
              <w:jc w:val="left"/>
            </w:pPr>
            <w:r>
              <w:t xml:space="preserve">Sintomas do sistema ocular (escala): 67/155 (43,2)</w:t>
            </w:r>
          </w:p>
        </w:tc>
        <w:tc>
          <w:tcPr/>
          <w:p>
            <w:pPr>
              <w:pStyle w:val="Compact"/>
              <w:jc w:val="left"/>
            </w:pPr>
            <w:r>
              <w:t xml:space="preserve">Sintomas do sistema respiratório (escala): 86/155 (55,5)</w:t>
            </w:r>
          </w:p>
        </w:tc>
      </w:tr>
      <w:tr>
        <w:tc>
          <w:tcPr/>
          <w:p>
            <w:pPr>
              <w:pStyle w:val="Compact"/>
              <w:jc w:val="left"/>
            </w:pPr>
            <w:r>
              <w:t xml:space="preserve">Van Giersbergen et al., 2019</w:t>
            </w:r>
          </w:p>
        </w:tc>
        <w:tc>
          <w:tcPr/>
          <w:p>
            <w:pPr>
              <w:pStyle w:val="Compact"/>
              <w:jc w:val="left"/>
            </w:pPr>
            <w:r>
              <w:t xml:space="preserve">não extraível</w:t>
            </w:r>
          </w:p>
        </w:tc>
        <w:tc>
          <w:tcPr/>
          <w:p>
            <w:pPr>
              <w:pStyle w:val="Compact"/>
              <w:jc w:val="left"/>
            </w:pPr>
            <w:r>
              <w:t xml:space="preserve">Qualquer sintoma de vias aéreas superiores: 385/672 (57,3)</w:t>
            </w:r>
          </w:p>
        </w:tc>
      </w:tr>
    </w:tbl>
    <w:p>
      <w:pPr>
        <w:pStyle w:val="BodyText"/>
      </w:pPr>
      <w:r>
        <w:t xml:space="preserve">É por isso que o respiratório é</w:t>
      </w:r>
      <w:r>
        <w:t xml:space="preserve"> </w:t>
      </w:r>
      <w:r>
        <w:rPr>
          <w:bCs/>
          <w:b/>
        </w:rPr>
        <w:t xml:space="preserve">exploratório</w:t>
      </w:r>
      <w:r>
        <w:t xml:space="preserve">: a definição vai de</w:t>
      </w:r>
      <w:r>
        <w:t xml:space="preserve"> </w:t>
      </w:r>
      <w:r>
        <w:t xml:space="preserve">“</w:t>
      </w:r>
      <w:r>
        <w:t xml:space="preserve">tosse</w:t>
      </w:r>
      <w:r>
        <w:t xml:space="preserve">”</w:t>
      </w:r>
      <w:r>
        <w:t xml:space="preserve"> </w:t>
      </w:r>
      <w:r>
        <w:t xml:space="preserve">isolada até</w:t>
      </w:r>
      <w:r>
        <w:t xml:space="preserve"> </w:t>
      </w:r>
      <w:r>
        <w:t xml:space="preserve">“</w:t>
      </w:r>
      <w:r>
        <w:t xml:space="preserve">qualquer sintoma de vias aéreas superiores</w:t>
      </w:r>
      <w:r>
        <w:t xml:space="preserve">”</w:t>
      </w:r>
      <w:r>
        <w:t xml:space="preserve">. E é daí que saem as sensibilidades por definição: retirando Van Giersbergen (definição mais ampla) e Bieniek 2022 (escala por sistema), a prevalência respiratória cai para 35,8% (IC95% 25,8–47,2) e o I² cai de 91% para 61%, mostrando que a definição do desfecho explica parte relevante da heterogeneidade. No ocular, retirar Bieniek 2022 quase não muda a estimativa (36,5%) e o I² segue alto (94%).</w:t>
      </w:r>
    </w:p>
    <w:p>
      <w:pPr>
        <w:pStyle w:val="BlockText"/>
      </w:pPr>
      <w:r>
        <w:rPr>
          <w:bCs/>
          <w:b/>
        </w:rPr>
        <w:t xml:space="preserve">O que dizer se perguntarem (</w:t>
      </w:r>
      <w:r>
        <w:rPr>
          <w:bCs/>
          <w:b/>
        </w:rPr>
        <w:t xml:space="preserve">“</w:t>
      </w:r>
      <w:r>
        <w:rPr>
          <w:bCs/>
          <w:b/>
        </w:rPr>
        <w:t xml:space="preserve">como você escolheu qual sintoma usar?</w:t>
      </w:r>
      <w:r>
        <w:rPr>
          <w:bCs/>
          <w:b/>
        </w:rPr>
        <w:t xml:space="preserve">”</w:t>
      </w:r>
      <w:r>
        <w:rPr>
          <w:bCs/>
          <w:b/>
        </w:rPr>
        <w:t xml:space="preserve">):</w:t>
      </w:r>
      <w:r>
        <w:t xml:space="preserve"> </w:t>
      </w:r>
      <w:r>
        <w:t xml:space="preserve">“</w:t>
      </w:r>
      <w:r>
        <w:t xml:space="preserve">Pelo sintoma-índice de cada estudo: o mais específico para a via, lacrimejamento ou irritação ocular para o olho, tosse ou irritação de vias aéreas para o respiratório, conforme a definição do próprio estudo, listada no Anexo D. A regra foi fixada durante a análise e sem olhar resultado; e testamos o efeito dela nas análises de sensibilidade por definição.</w:t>
      </w:r>
      <w:r>
        <w:t xml:space="preserve">”</w:t>
      </w:r>
    </w:p>
    <w:bookmarkEnd w:id="60"/>
    <w:bookmarkStart w:id="61" w:name="manejo-da-sobreposição-amostral"/>
    <w:p>
      <w:pPr>
        <w:pStyle w:val="Heading4"/>
      </w:pPr>
      <w:r>
        <w:t xml:space="preserve">3.9 Manejo da sobreposição amostral</w:t>
      </w:r>
    </w:p>
    <w:p>
      <w:pPr>
        <w:pStyle w:val="FirstParagraph"/>
      </w:pPr>
      <w:r>
        <w:rPr>
          <w:bCs/>
          <w:b/>
        </w:rPr>
        <w:t xml:space="preserve">Princípio:</w:t>
      </w:r>
      <w:r>
        <w:t xml:space="preserve"> </w:t>
      </w:r>
      <w:r>
        <w:t xml:space="preserve">quando havia mais de uma publicação de uma mesma população, entrou</w:t>
      </w:r>
      <w:r>
        <w:t xml:space="preserve"> </w:t>
      </w:r>
      <w:r>
        <w:rPr>
          <w:bCs/>
          <w:b/>
        </w:rPr>
        <w:t xml:space="preserve">apenas uma por desfecho combinado</w:t>
      </w:r>
      <w:r>
        <w:t xml:space="preserve">, para que nenhum agrupamento contasse participantes duas vezes.</w:t>
      </w:r>
    </w:p>
    <w:p>
      <w:pPr>
        <w:pStyle w:val="BodyText"/>
      </w:pPr>
      <w:r>
        <w:rPr>
          <w:bCs/>
          <w:b/>
        </w:rPr>
        <w:t xml:space="preserve">O cluster do Paraná (sete publicações do mesmo grupo brasileiro, de coortes com sobreposição amostral parcial):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Publicação</w:t>
            </w:r>
          </w:p>
        </w:tc>
        <w:tc>
          <w:tcPr/>
          <w:p>
            <w:pPr>
              <w:pStyle w:val="Compact"/>
              <w:jc w:val="left"/>
            </w:pPr>
            <w:r>
              <w:t xml:space="preserve">N</w:t>
            </w:r>
          </w:p>
        </w:tc>
        <w:tc>
          <w:tcPr/>
          <w:p>
            <w:pPr>
              <w:pStyle w:val="Compact"/>
              <w:jc w:val="left"/>
            </w:pPr>
            <w:r>
              <w:t xml:space="preserve">Papel na síntese (Anexo C e D1)</w:t>
            </w:r>
          </w:p>
        </w:tc>
      </w:tr>
      <w:tr>
        <w:tc>
          <w:tcPr/>
          <w:p>
            <w:pPr>
              <w:pStyle w:val="Compact"/>
              <w:jc w:val="left"/>
            </w:pPr>
            <w:r>
              <w:t xml:space="preserve">Aranha et al., 2018</w:t>
            </w:r>
          </w:p>
        </w:tc>
        <w:tc>
          <w:tcPr/>
          <w:p>
            <w:pPr>
              <w:pStyle w:val="Compact"/>
              <w:jc w:val="left"/>
            </w:pPr>
            <w:r>
              <w:t xml:space="preserve">45</w:t>
            </w:r>
          </w:p>
        </w:tc>
        <w:tc>
          <w:tcPr/>
          <w:p>
            <w:pPr>
              <w:pStyle w:val="Compact"/>
              <w:jc w:val="left"/>
            </w:pPr>
            <w:r>
              <w:t xml:space="preserve">Não entrou nos agrupamentos (representada por Bieniek 2022)</w:t>
            </w:r>
          </w:p>
        </w:tc>
      </w:tr>
      <w:tr>
        <w:tc>
          <w:tcPr/>
          <w:p>
            <w:pPr>
              <w:pStyle w:val="Compact"/>
              <w:jc w:val="left"/>
            </w:pPr>
            <w:r>
              <w:t xml:space="preserve">Saito et al., 2019</w:t>
            </w:r>
          </w:p>
        </w:tc>
        <w:tc>
          <w:tcPr/>
          <w:p>
            <w:pPr>
              <w:pStyle w:val="Compact"/>
              <w:jc w:val="left"/>
            </w:pPr>
            <w:r>
              <w:t xml:space="preserve">46</w:t>
            </w:r>
          </w:p>
        </w:tc>
        <w:tc>
          <w:tcPr/>
          <w:p>
            <w:pPr>
              <w:pStyle w:val="Compact"/>
              <w:jc w:val="left"/>
            </w:pPr>
            <w:r>
              <w:t xml:space="preserve">Não entrou nos agrupamentos (sobreposição)</w:t>
            </w:r>
          </w:p>
        </w:tc>
      </w:tr>
      <w:tr>
        <w:tc>
          <w:tcPr/>
          <w:p>
            <w:pPr>
              <w:pStyle w:val="Compact"/>
              <w:jc w:val="left"/>
            </w:pPr>
            <w:r>
              <w:rPr>
                <w:bCs/>
                <w:b/>
              </w:rPr>
              <w:t xml:space="preserve">Bieniek et al., 2022</w:t>
            </w:r>
          </w:p>
        </w:tc>
        <w:tc>
          <w:tcPr/>
          <w:p>
            <w:pPr>
              <w:pStyle w:val="Compact"/>
              <w:jc w:val="left"/>
            </w:pPr>
            <w:r>
              <w:rPr>
                <w:bCs/>
                <w:b/>
              </w:rPr>
              <w:t xml:space="preserve">155</w:t>
            </w:r>
          </w:p>
        </w:tc>
        <w:tc>
          <w:tcPr/>
          <w:p>
            <w:pPr>
              <w:pStyle w:val="Compact"/>
              <w:jc w:val="left"/>
            </w:pPr>
            <w:r>
              <w:rPr>
                <w:bCs/>
                <w:b/>
              </w:rPr>
              <w:t xml:space="preserve">Representante do cluster nos agrupamentos ocular (67/155 = 43,2%) e respiratório (86/155 = 55,5%)</w:t>
            </w:r>
          </w:p>
        </w:tc>
      </w:tr>
      <w:tr>
        <w:tc>
          <w:tcPr/>
          <w:p>
            <w:pPr>
              <w:pStyle w:val="Compact"/>
              <w:jc w:val="left"/>
            </w:pPr>
            <w:r>
              <w:t xml:space="preserve">Bieniek et al., 2025</w:t>
            </w:r>
          </w:p>
        </w:tc>
        <w:tc>
          <w:tcPr/>
          <w:p>
            <w:pPr>
              <w:pStyle w:val="Compact"/>
              <w:jc w:val="left"/>
            </w:pPr>
            <w:r>
              <w:t xml:space="preserve">343</w:t>
            </w:r>
          </w:p>
        </w:tc>
        <w:tc>
          <w:tcPr/>
          <w:p>
            <w:pPr>
              <w:pStyle w:val="Compact"/>
              <w:jc w:val="left"/>
            </w:pPr>
            <w:r>
              <w:t xml:space="preserve">Narrativa (sintomas oculares)</w:t>
            </w:r>
          </w:p>
        </w:tc>
      </w:tr>
      <w:tr>
        <w:tc>
          <w:tcPr/>
          <w:p>
            <w:pPr>
              <w:pStyle w:val="Compact"/>
              <w:jc w:val="left"/>
            </w:pPr>
            <w:r>
              <w:t xml:space="preserve">Lopes et al., 2025</w:t>
            </w:r>
          </w:p>
        </w:tc>
        <w:tc>
          <w:tcPr/>
          <w:p>
            <w:pPr>
              <w:pStyle w:val="Compact"/>
              <w:jc w:val="left"/>
            </w:pPr>
            <w:r>
              <w:t xml:space="preserve">364</w:t>
            </w:r>
          </w:p>
        </w:tc>
        <w:tc>
          <w:tcPr/>
          <w:p>
            <w:pPr>
              <w:pStyle w:val="Compact"/>
              <w:jc w:val="left"/>
            </w:pPr>
            <w:r>
              <w:t xml:space="preserve">Narrativa (predição por aprendizado de máquina)</w:t>
            </w:r>
          </w:p>
        </w:tc>
      </w:tr>
      <w:tr>
        <w:tc>
          <w:tcPr/>
          <w:p>
            <w:pPr>
              <w:pStyle w:val="Compact"/>
              <w:jc w:val="left"/>
            </w:pPr>
            <w:r>
              <w:t xml:space="preserve">Stanganelli et al., 2019</w:t>
            </w:r>
          </w:p>
        </w:tc>
        <w:tc>
          <w:tcPr/>
          <w:p>
            <w:pPr>
              <w:pStyle w:val="Compact"/>
              <w:jc w:val="left"/>
            </w:pPr>
            <w:r>
              <w:t xml:space="preserve">39</w:t>
            </w:r>
          </w:p>
        </w:tc>
        <w:tc>
          <w:tcPr/>
          <w:p>
            <w:pPr>
              <w:pStyle w:val="Compact"/>
              <w:jc w:val="left"/>
            </w:pPr>
            <w:r>
              <w:t xml:space="preserve">Narrativa (coorte)</w:t>
            </w:r>
          </w:p>
        </w:tc>
      </w:tr>
      <w:tr>
        <w:tc>
          <w:tcPr/>
          <w:p>
            <w:pPr>
              <w:pStyle w:val="Compact"/>
              <w:jc w:val="left"/>
            </w:pPr>
            <w:r>
              <w:t xml:space="preserve">Stanganelli Caus et al., 2025</w:t>
            </w:r>
          </w:p>
        </w:tc>
        <w:tc>
          <w:tcPr/>
          <w:p>
            <w:pPr>
              <w:pStyle w:val="Compact"/>
              <w:jc w:val="left"/>
            </w:pPr>
            <w:r>
              <w:t xml:space="preserve">100</w:t>
            </w:r>
          </w:p>
        </w:tc>
        <w:tc>
          <w:tcPr/>
          <w:p>
            <w:pPr>
              <w:pStyle w:val="Compact"/>
              <w:jc w:val="left"/>
            </w:pPr>
            <w:r>
              <w:t xml:space="preserve">Narrativa (coorte; HR 1,5, IC95% 0,99–2,42)</w:t>
            </w:r>
          </w:p>
        </w:tc>
      </w:tr>
    </w:tbl>
    <w:p>
      <w:pPr>
        <w:pStyle w:val="BodyText"/>
      </w:pPr>
      <w:r>
        <w:rPr>
          <w:bCs/>
          <w:b/>
        </w:rPr>
        <w:t xml:space="preserve">Quem representou e por quê:</w:t>
      </w:r>
      <w:r>
        <w:t xml:space="preserve"> </w:t>
      </w:r>
      <w:r>
        <w:t xml:space="preserve">a regra,</w:t>
      </w:r>
      <w:r>
        <w:t xml:space="preserve"> </w:t>
      </w:r>
      <w:r>
        <w:rPr>
          <w:bCs/>
          <w:b/>
        </w:rPr>
        <w:t xml:space="preserve">definida antes da síntese</w:t>
      </w:r>
      <w:r>
        <w:t xml:space="preserve">, foi escolher a publicação com o relato mais completo dos desfechos combinados, isto é, com numerador e denominador</w:t>
      </w:r>
      <w:r>
        <w:t xml:space="preserve"> </w:t>
      </w:r>
      <w:r>
        <w:rPr>
          <w:bCs/>
          <w:b/>
        </w:rPr>
        <w:t xml:space="preserve">para os dois sintomas, ocular e respiratório</w:t>
      </w:r>
      <w:r>
        <w:t xml:space="preserve">. Isso correspondeu a</w:t>
      </w:r>
      <w:r>
        <w:t xml:space="preserve"> </w:t>
      </w:r>
      <w:r>
        <w:rPr>
          <w:bCs/>
          <w:b/>
        </w:rPr>
        <w:t xml:space="preserve">Bieniek et al. (2022)</w:t>
      </w:r>
      <w:r>
        <w:t xml:space="preserve">. O Brasil, portanto, aparece nas metanálises por um único estudo por desfecho e é reportado como estrato descritivo (43,2% no ocular).</w:t>
      </w:r>
    </w:p>
    <w:p>
      <w:pPr>
        <w:pStyle w:val="BodyText"/>
      </w:pPr>
      <w:r>
        <w:rPr>
          <w:bCs/>
          <w:b/>
        </w:rPr>
        <w:t xml:space="preserve">Por que não trocar o representante numa análise de sensibilidade:</w:t>
      </w:r>
      <w:r>
        <w:t xml:space="preserve"> </w:t>
      </w:r>
      <w:r>
        <w:t xml:space="preserve">porque não era factível. A publicação do cluster dedicada a sintomas oculares (</w:t>
      </w:r>
      <w:r>
        <w:rPr>
          <w:bCs/>
          <w:b/>
        </w:rPr>
        <w:t xml:space="preserve">Bieniek et al., 2025; n = 343</w:t>
      </w:r>
      <w:r>
        <w:t xml:space="preserve">) mediu o desfecho pela escala</w:t>
      </w:r>
      <w:r>
        <w:t xml:space="preserve"> </w:t>
      </w:r>
      <w:r>
        <w:rPr>
          <w:bCs/>
          <w:b/>
        </w:rPr>
        <w:t xml:space="preserve">EASE</w:t>
      </w:r>
      <w:r>
        <w:t xml:space="preserve"> </w:t>
      </w:r>
      <w:r>
        <w:t xml:space="preserve">(Escala para Avaliação da intensidade dos Sinais e Sintomas relacionados à Exposição à Fumaça Cirúrgica), que gradua a intensidade de</w:t>
      </w:r>
      <w:r>
        <w:t xml:space="preserve"> </w:t>
      </w:r>
      <w:r>
        <w:rPr>
          <w:bCs/>
          <w:b/>
        </w:rPr>
        <w:t xml:space="preserve">0 a 3</w:t>
      </w:r>
      <w:r>
        <w:t xml:space="preserve">, e reportou os resultados</w:t>
      </w:r>
      <w:r>
        <w:t xml:space="preserve"> </w:t>
      </w:r>
      <w:r>
        <w:rPr>
          <w:bCs/>
          <w:b/>
        </w:rPr>
        <w:t xml:space="preserve">estratificados por uso de medidas de proteção</w:t>
      </w:r>
      <w:r>
        <w:t xml:space="preserve">, sem numerador e denominador globais de presença do sintoma comparáveis à definição dicotômica dos demais estudos.</w:t>
      </w:r>
    </w:p>
    <w:p>
      <w:pPr>
        <w:pStyle w:val="BodyText"/>
      </w:pPr>
      <w:r>
        <w:rPr>
          <w:bCs/>
          <w:b/>
        </w:rPr>
        <w:t xml:space="preserve">Os dois pares suspeitos que não são sobreposição:</w:t>
      </w:r>
      <w:r>
        <w:t xml:space="preserve"> </w:t>
      </w:r>
      <w:r>
        <w:t xml:space="preserve">-</w:t>
      </w:r>
      <w:r>
        <w:t xml:space="preserve"> </w:t>
      </w:r>
      <w:r>
        <w:rPr>
          <w:bCs/>
          <w:b/>
        </w:rPr>
        <w:t xml:space="preserve">Par turco (autoria compartilhada):</w:t>
      </w:r>
      <w:r>
        <w:t xml:space="preserve"> </w:t>
      </w:r>
      <w:r>
        <w:t xml:space="preserve">İlçe, Yuzden e Van Giersbergen (2017) fizeram</w:t>
      </w:r>
      <w:r>
        <w:t xml:space="preserve"> </w:t>
      </w:r>
      <w:r>
        <w:rPr>
          <w:bCs/>
          <w:b/>
        </w:rPr>
        <w:t xml:space="preserve">censo dos profissionais de um único hospital de ensino</w:t>
      </w:r>
      <w:r>
        <w:t xml:space="preserve">, entre abril e junho de 2015, incluindo enfermeiros e médicos (n = 81). Van Giersbergen et al. (2019) recrutaram</w:t>
      </w:r>
      <w:r>
        <w:t xml:space="preserve"> </w:t>
      </w:r>
      <w:r>
        <w:rPr>
          <w:bCs/>
          <w:b/>
        </w:rPr>
        <w:t xml:space="preserve">enfermeiros de centro cirúrgico de instituições de todo o país</w:t>
      </w:r>
      <w:r>
        <w:t xml:space="preserve">, durante</w:t>
      </w:r>
      <w:r>
        <w:t xml:space="preserve"> </w:t>
      </w:r>
      <w:r>
        <w:rPr>
          <w:bCs/>
          <w:b/>
        </w:rPr>
        <w:t xml:space="preserve">encontros científicos de uma associação profissional</w:t>
      </w:r>
      <w:r>
        <w:t xml:space="preserve"> </w:t>
      </w:r>
      <w:r>
        <w:t xml:space="preserve">(n = 672). Marcos amostrais distintos.</w:t>
      </w:r>
      <w:r>
        <w:t xml:space="preserve"> </w:t>
      </w:r>
      <w:r>
        <w:t xml:space="preserve">-</w:t>
      </w:r>
      <w:r>
        <w:t xml:space="preserve"> </w:t>
      </w:r>
      <w:r>
        <w:rPr>
          <w:bCs/>
          <w:b/>
        </w:rPr>
        <w:t xml:space="preserve">Par malaio (mesmo primeiro autor):</w:t>
      </w:r>
      <w:r>
        <w:t xml:space="preserve"> </w:t>
      </w:r>
      <w:r>
        <w:t xml:space="preserve">Mohd Fikri Rosely; Titi Rahmawati (2019) foi no</w:t>
      </w:r>
      <w:r>
        <w:t xml:space="preserve"> </w:t>
      </w:r>
      <w:r>
        <w:rPr>
          <w:bCs/>
          <w:b/>
        </w:rPr>
        <w:t xml:space="preserve">Hospital Serdang</w:t>
      </w:r>
      <w:r>
        <w:t xml:space="preserve"> </w:t>
      </w:r>
      <w:r>
        <w:t xml:space="preserve">(n = 137); Mohd Fikri Rosely (2022) foi no</w:t>
      </w:r>
      <w:r>
        <w:t xml:space="preserve"> </w:t>
      </w:r>
      <w:r>
        <w:rPr>
          <w:bCs/>
          <w:b/>
        </w:rPr>
        <w:t xml:space="preserve">Hospital Kuala Lumpur</w:t>
      </w:r>
      <w:r>
        <w:t xml:space="preserve"> </w:t>
      </w:r>
      <w:r>
        <w:t xml:space="preserve">(n = 196). Hospitais diferentes.</w:t>
      </w:r>
    </w:p>
    <w:p>
      <w:pPr>
        <w:pStyle w:val="BodyText"/>
      </w:pPr>
      <w:r>
        <w:t xml:space="preserve">Em ambos os pares não há sobreposição documentada, mas o manuscrito é honesto: a participação eventual de um mesmo profissional em dois inquéritos independentes</w:t>
      </w:r>
      <w:r>
        <w:t xml:space="preserve"> </w:t>
      </w:r>
      <w:r>
        <w:t xml:space="preserve">“</w:t>
      </w:r>
      <w:r>
        <w:t xml:space="preserve">não pode ser formalmente descartada</w:t>
      </w:r>
      <w:r>
        <w:t xml:space="preserve">”</w:t>
      </w:r>
      <w:r>
        <w:t xml:space="preserve">.</w:t>
      </w:r>
    </w:p>
    <w:p>
      <w:pPr>
        <w:pStyle w:val="BodyText"/>
      </w:pPr>
      <w:r>
        <w:rPr>
          <w:bCs/>
          <w:b/>
        </w:rPr>
        <w:t xml:space="preserve">Conferência rápida do resultado:</w:t>
      </w:r>
      <w:r>
        <w:t xml:space="preserve"> </w:t>
      </w:r>
      <w:r>
        <w:t xml:space="preserve">o agrupamento ocular tem 6 amostras independentes (İlçe, Cinar, Usta, Mohd Fikri Rosely 2022, Mohd Fikri Rosely 2019, Bieniek 2022): 81 + 82 + 105 + 196 + 137 + 155 =</w:t>
      </w:r>
      <w:r>
        <w:t xml:space="preserve"> </w:t>
      </w:r>
      <w:r>
        <w:rPr>
          <w:bCs/>
          <w:b/>
        </w:rPr>
        <w:t xml:space="preserve">756</w:t>
      </w:r>
      <w:r>
        <w:t xml:space="preserve">. O respiratório tem as mesmas 6 mais Van Giersbergen (672) =</w:t>
      </w:r>
      <w:r>
        <w:t xml:space="preserve"> </w:t>
      </w:r>
      <w:r>
        <w:rPr>
          <w:bCs/>
          <w:b/>
        </w:rPr>
        <w:t xml:space="preserve">1.428</w:t>
      </w:r>
      <w:r>
        <w:t xml:space="preserve">.</w:t>
      </w:r>
    </w:p>
    <w:p>
      <w:pPr>
        <w:pStyle w:val="BlockText"/>
      </w:pPr>
      <w:r>
        <w:rPr>
          <w:bCs/>
          <w:b/>
        </w:rPr>
        <w:t xml:space="preserve">O que dizer se perguntarem (</w:t>
      </w:r>
      <w:r>
        <w:rPr>
          <w:bCs/>
          <w:b/>
        </w:rPr>
        <w:t xml:space="preserve">“</w:t>
      </w:r>
      <w:r>
        <w:rPr>
          <w:bCs/>
          <w:b/>
        </w:rPr>
        <w:t xml:space="preserve">você tem 22 estudos, mas só 6 ou 7 na metanálise; por quê?</w:t>
      </w:r>
      <w:r>
        <w:rPr>
          <w:bCs/>
          <w:b/>
        </w:rPr>
        <w:t xml:space="preserve">”</w:t>
      </w:r>
      <w:r>
        <w:rPr>
          <w:bCs/>
          <w:b/>
        </w:rPr>
        <w:t xml:space="preserve">):</w:t>
      </w:r>
      <w:r>
        <w:t xml:space="preserve"> </w:t>
      </w:r>
      <w:r>
        <w:t xml:space="preserve">“</w:t>
      </w:r>
      <w:r>
        <w:t xml:space="preserve">Porque 22 relatórios não são 22 populações: sete publicações do grupo do Paraná vêm de coortes com sobreposição parcial e entraram por um único representante, Bieniek 2022, escolhido antes da síntese por ser o relato com numerador e denominador para os dois sintomas. Dos demais, vários não traziam sintomas desagregados com numerador e denominador, e quatro são estudos de desfechos objetivos, sintetizados narrativamente. O Anexo D1 lista o papel de cada relatório.</w:t>
      </w:r>
      <w:r>
        <w:t xml:space="preserve">”</w:t>
      </w:r>
    </w:p>
    <w:p>
      <w:pPr>
        <w:pStyle w:val="BlockText"/>
      </w:pPr>
      <w:r>
        <w:rPr>
          <w:bCs/>
          <w:b/>
        </w:rPr>
        <w:t xml:space="preserve">O que dizer se perguntarem (</w:t>
      </w:r>
      <w:r>
        <w:rPr>
          <w:bCs/>
          <w:b/>
        </w:rPr>
        <w:t xml:space="preserve">“</w:t>
      </w:r>
      <w:r>
        <w:rPr>
          <w:bCs/>
          <w:b/>
        </w:rPr>
        <w:t xml:space="preserve">e os dois estudos turcos com os mesmos autores?</w:t>
      </w:r>
      <w:r>
        <w:rPr>
          <w:bCs/>
          <w:b/>
        </w:rPr>
        <w:t xml:space="preserve">”</w:t>
      </w:r>
      <w:r>
        <w:rPr>
          <w:bCs/>
          <w:b/>
        </w:rPr>
        <w:t xml:space="preserve">):</w:t>
      </w:r>
      <w:r>
        <w:t xml:space="preserve"> </w:t>
      </w:r>
      <w:r>
        <w:t xml:space="preserve">“</w:t>
      </w:r>
      <w:r>
        <w:t xml:space="preserve">Verificamos os marcos amostrais: um é censo de um único hospital de ensino em 2015, com médicos e enfermeiros; o outro recrutou enfermeiros de todo o país em eventos de uma associação profissional. Não há sobreposição documentada, e o mesmo vale para os dois hospitais malaios, Serdang e Kuala Lumpur.</w:t>
      </w:r>
      <w:r>
        <w:t xml:space="preserve">”</w:t>
      </w:r>
    </w:p>
    <w:p>
      <w:r>
        <w:pict>
          <v:rect style="width:0;height:1.5pt" o:hralign="center" o:hrstd="t" o:hr="t"/>
        </w:pict>
      </w:r>
    </w:p>
    <w:bookmarkEnd w:id="61"/>
    <w:bookmarkEnd w:id="62"/>
    <w:bookmarkStart w:id="63" w:name="números-desta-etapa-para-decorar"/>
    <w:p>
      <w:pPr>
        <w:pStyle w:val="Heading3"/>
      </w:pPr>
      <w:r>
        <w:t xml:space="preserve">Números desta etapa para decorar</w:t>
      </w:r>
    </w:p>
    <w:p>
      <w:pPr>
        <w:pStyle w:val="FirstParagraph"/>
      </w:pPr>
      <w:r>
        <w:rPr>
          <w:bCs/>
          <w:b/>
        </w:rPr>
        <w:t xml:space="preserve">Identificadores e normas</w:t>
      </w:r>
      <w:r>
        <w:t xml:space="preserve"> </w:t>
      </w:r>
      <w:r>
        <w:t xml:space="preserve">- PROSPERO</w:t>
      </w:r>
      <w:r>
        <w:t xml:space="preserve"> </w:t>
      </w:r>
      <w:r>
        <w:rPr>
          <w:bCs/>
          <w:b/>
        </w:rPr>
        <w:t xml:space="preserve">CRD420251238727</w:t>
      </w:r>
      <w:r>
        <w:t xml:space="preserve">, registrado</w:t>
      </w:r>
      <w:r>
        <w:t xml:space="preserve"> </w:t>
      </w:r>
      <w:r>
        <w:rPr>
          <w:bCs/>
          <w:b/>
        </w:rPr>
        <w:t xml:space="preserve">antes da extração de dados</w:t>
      </w:r>
      <w:r>
        <w:t xml:space="preserve">.</w:t>
      </w:r>
      <w:r>
        <w:t xml:space="preserve"> </w:t>
      </w:r>
      <w:r>
        <w:t xml:space="preserve">- Dispensa do CEP: protocolo</w:t>
      </w:r>
      <w:r>
        <w:t xml:space="preserve"> </w:t>
      </w:r>
      <w:r>
        <w:rPr>
          <w:bCs/>
          <w:b/>
        </w:rPr>
        <w:t xml:space="preserve">2025/0743</w:t>
      </w:r>
      <w:r>
        <w:t xml:space="preserve">; base legal</w:t>
      </w:r>
      <w:r>
        <w:t xml:space="preserve"> </w:t>
      </w:r>
      <w:r>
        <w:rPr>
          <w:bCs/>
          <w:b/>
        </w:rPr>
        <w:t xml:space="preserve">Resolução CNS 510/2016, art. 1º, parágrafo único, inciso VI</w:t>
      </w:r>
      <w:r>
        <w:t xml:space="preserve">.</w:t>
      </w:r>
      <w:r>
        <w:t xml:space="preserve"> </w:t>
      </w:r>
      <w:r>
        <w:t xml:space="preserve">- Relato:</w:t>
      </w:r>
      <w:r>
        <w:t xml:space="preserve"> </w:t>
      </w:r>
      <w:r>
        <w:rPr>
          <w:bCs/>
          <w:b/>
        </w:rPr>
        <w:t xml:space="preserve">PRISMA 2020</w:t>
      </w:r>
      <w:r>
        <w:t xml:space="preserve">, checklist de</w:t>
      </w:r>
      <w:r>
        <w:t xml:space="preserve"> </w:t>
      </w:r>
      <w:r>
        <w:rPr>
          <w:bCs/>
          <w:b/>
        </w:rPr>
        <w:t xml:space="preserve">27 itens</w:t>
      </w:r>
      <w:r>
        <w:t xml:space="preserve"> </w:t>
      </w:r>
      <w:r>
        <w:t xml:space="preserve">(Anexo H). Condução: Diretrizes Metodológicas do MS (2014a) e manual GRADE do MS (2014b).</w:t>
      </w:r>
      <w:r>
        <w:t xml:space="preserve"> </w:t>
      </w:r>
      <w:r>
        <w:t xml:space="preserve">- IA:</w:t>
      </w:r>
      <w:r>
        <w:t xml:space="preserve"> </w:t>
      </w:r>
      <w:r>
        <w:rPr>
          <w:bCs/>
          <w:b/>
        </w:rPr>
        <w:t xml:space="preserve">Portaria CNPq nº 2.664, de 6 de março de 2026</w:t>
      </w:r>
      <w:r>
        <w:t xml:space="preserve">; uso entre</w:t>
      </w:r>
      <w:r>
        <w:t xml:space="preserve"> </w:t>
      </w:r>
      <w:r>
        <w:rPr>
          <w:bCs/>
          <w:b/>
        </w:rPr>
        <w:t xml:space="preserve">julho e agosto de 2026</w:t>
      </w:r>
      <w:r>
        <w:t xml:space="preserve">; registros no OSF (</w:t>
      </w:r>
      <w:r>
        <w:rPr>
          <w:bCs/>
          <w:b/>
        </w:rPr>
        <w:t xml:space="preserve">osf.io/jktmn</w:t>
      </w:r>
      <w:r>
        <w:t xml:space="preserve">).</w:t>
      </w:r>
    </w:p>
    <w:p>
      <w:pPr>
        <w:pStyle w:val="BodyText"/>
      </w:pPr>
      <w:r>
        <w:rPr>
          <w:bCs/>
          <w:b/>
        </w:rPr>
        <w:t xml:space="preserve">Busca</w:t>
      </w:r>
      <w:r>
        <w:t xml:space="preserve"> </w:t>
      </w:r>
      <w:r>
        <w:t xml:space="preserve">-</w:t>
      </w:r>
      <w:r>
        <w:t xml:space="preserve"> </w:t>
      </w:r>
      <w:r>
        <w:rPr>
          <w:bCs/>
          <w:b/>
        </w:rPr>
        <w:t xml:space="preserve">7 bases</w:t>
      </w:r>
      <w:r>
        <w:t xml:space="preserve"> </w:t>
      </w:r>
      <w:r>
        <w:t xml:space="preserve">eletrônicas +</w:t>
      </w:r>
      <w:r>
        <w:t xml:space="preserve"> </w:t>
      </w:r>
      <w:r>
        <w:rPr>
          <w:bCs/>
          <w:b/>
        </w:rPr>
        <w:t xml:space="preserve">2 fontes cinzentas</w:t>
      </w:r>
      <w:r>
        <w:t xml:space="preserve"> </w:t>
      </w:r>
      <w:r>
        <w:t xml:space="preserve">(Google Scholar e CAPES) + busca por citação via</w:t>
      </w:r>
      <w:r>
        <w:t xml:space="preserve"> </w:t>
      </w:r>
      <w:r>
        <w:rPr>
          <w:bCs/>
          <w:b/>
        </w:rPr>
        <w:t xml:space="preserve">OpenAlex</w:t>
      </w:r>
      <w:r>
        <w:t xml:space="preserve"> </w:t>
      </w:r>
      <w:r>
        <w:t xml:space="preserve">(reversa e direta).</w:t>
      </w:r>
      <w:r>
        <w:t xml:space="preserve"> </w:t>
      </w:r>
      <w:r>
        <w:t xml:space="preserve">- Última busca:</w:t>
      </w:r>
      <w:r>
        <w:t xml:space="preserve"> </w:t>
      </w:r>
      <w:r>
        <w:rPr>
          <w:bCs/>
          <w:b/>
        </w:rPr>
        <w:t xml:space="preserve">9 de julho de 2026</w:t>
      </w:r>
      <w:r>
        <w:t xml:space="preserve">.</w:t>
      </w:r>
      <w:r>
        <w:t xml:space="preserve"> </w:t>
      </w:r>
      <w:r>
        <w:t xml:space="preserve">-</w:t>
      </w:r>
      <w:r>
        <w:t xml:space="preserve"> </w:t>
      </w:r>
      <w:r>
        <w:rPr>
          <w:bCs/>
          <w:b/>
        </w:rPr>
        <w:t xml:space="preserve">2 blocos</w:t>
      </w:r>
      <w:r>
        <w:t xml:space="preserve"> </w:t>
      </w:r>
      <w:r>
        <w:t xml:space="preserve">(população AND exposição),</w:t>
      </w:r>
      <w:r>
        <w:t xml:space="preserve"> </w:t>
      </w:r>
      <w:r>
        <w:rPr>
          <w:bCs/>
          <w:b/>
        </w:rPr>
        <w:t xml:space="preserve">sem bloco de desfecho</w:t>
      </w:r>
      <w:r>
        <w:t xml:space="preserve">,</w:t>
      </w:r>
      <w:r>
        <w:t xml:space="preserve"> </w:t>
      </w:r>
      <w:r>
        <w:rPr>
          <w:bCs/>
          <w:b/>
        </w:rPr>
        <w:t xml:space="preserve">sem filtro de idioma</w:t>
      </w:r>
      <w:r>
        <w:t xml:space="preserve">,</w:t>
      </w:r>
      <w:r>
        <w:t xml:space="preserve"> </w:t>
      </w:r>
      <w:r>
        <w:rPr>
          <w:bCs/>
          <w:b/>
        </w:rPr>
        <w:t xml:space="preserve">sem filtro de data</w:t>
      </w:r>
      <w:r>
        <w:t xml:space="preserve">; filtro</w:t>
      </w:r>
      <w:r>
        <w:t xml:space="preserve"> </w:t>
      </w:r>
      <w:r>
        <w:rPr>
          <w:bCs/>
          <w:b/>
        </w:rPr>
        <w:t xml:space="preserve">humans</w:t>
      </w:r>
      <w:r>
        <w:t xml:space="preserve"> </w:t>
      </w:r>
      <w:r>
        <w:t xml:space="preserve">apenas em</w:t>
      </w:r>
      <w:r>
        <w:t xml:space="preserve"> </w:t>
      </w:r>
      <w:r>
        <w:rPr>
          <w:bCs/>
          <w:b/>
        </w:rPr>
        <w:t xml:space="preserve">PubMed e Embase</w:t>
      </w:r>
      <w:r>
        <w:t xml:space="preserve">.</w:t>
      </w:r>
      <w:r>
        <w:t xml:space="preserve"> </w:t>
      </w:r>
      <w:r>
        <w:t xml:space="preserve">- Idiomas na elegibilidade:</w:t>
      </w:r>
      <w:r>
        <w:t xml:space="preserve"> </w:t>
      </w:r>
      <w:r>
        <w:rPr>
          <w:bCs/>
          <w:b/>
        </w:rPr>
        <w:t xml:space="preserve">3</w:t>
      </w:r>
      <w:r>
        <w:t xml:space="preserve"> </w:t>
      </w:r>
      <w:r>
        <w:t xml:space="preserve">(português, inglês, espanhol).</w:t>
      </w:r>
      <w:r>
        <w:t xml:space="preserve"> </w:t>
      </w:r>
      <w:r>
        <w:t xml:space="preserve">- Por base: PubMed</w:t>
      </w:r>
      <w:r>
        <w:t xml:space="preserve"> </w:t>
      </w:r>
      <w:r>
        <w:rPr>
          <w:bCs/>
          <w:b/>
        </w:rPr>
        <w:t xml:space="preserve">4.522</w:t>
      </w:r>
      <w:r>
        <w:t xml:space="preserve">; Embase</w:t>
      </w:r>
      <w:r>
        <w:t xml:space="preserve"> </w:t>
      </w:r>
      <w:r>
        <w:rPr>
          <w:bCs/>
          <w:b/>
        </w:rPr>
        <w:t xml:space="preserve">4.660</w:t>
      </w:r>
      <w:r>
        <w:t xml:space="preserve">; WoS</w:t>
      </w:r>
      <w:r>
        <w:t xml:space="preserve"> </w:t>
      </w:r>
      <w:r>
        <w:rPr>
          <w:bCs/>
          <w:b/>
        </w:rPr>
        <w:t xml:space="preserve">3.629</w:t>
      </w:r>
      <w:r>
        <w:t xml:space="preserve">; Scopus</w:t>
      </w:r>
      <w:r>
        <w:t xml:space="preserve"> </w:t>
      </w:r>
      <w:r>
        <w:rPr>
          <w:bCs/>
          <w:b/>
        </w:rPr>
        <w:t xml:space="preserve">2.639</w:t>
      </w:r>
      <w:r>
        <w:t xml:space="preserve">; BVS</w:t>
      </w:r>
      <w:r>
        <w:t xml:space="preserve"> </w:t>
      </w:r>
      <w:r>
        <w:rPr>
          <w:bCs/>
          <w:b/>
        </w:rPr>
        <w:t xml:space="preserve">1.229</w:t>
      </w:r>
      <w:r>
        <w:t xml:space="preserve">; SciELO</w:t>
      </w:r>
      <w:r>
        <w:t xml:space="preserve"> </w:t>
      </w:r>
      <w:r>
        <w:rPr>
          <w:bCs/>
          <w:b/>
        </w:rPr>
        <w:t xml:space="preserve">28</w:t>
      </w:r>
      <w:r>
        <w:t xml:space="preserve">; CENTRAL</w:t>
      </w:r>
      <w:r>
        <w:t xml:space="preserve"> </w:t>
      </w:r>
      <w:r>
        <w:rPr>
          <w:bCs/>
          <w:b/>
        </w:rPr>
        <w:t xml:space="preserve">0</w:t>
      </w:r>
      <w:r>
        <w:t xml:space="preserve">; Google Scholar</w:t>
      </w:r>
      <w:r>
        <w:t xml:space="preserve"> </w:t>
      </w:r>
      <w:r>
        <w:rPr>
          <w:bCs/>
          <w:b/>
        </w:rPr>
        <w:t xml:space="preserve">50</w:t>
      </w:r>
      <w:r>
        <w:t xml:space="preserve"> </w:t>
      </w:r>
      <w:r>
        <w:t xml:space="preserve">(4 estratégias × 50 primeiros = 200 avaliados); CAPES</w:t>
      </w:r>
      <w:r>
        <w:t xml:space="preserve"> </w:t>
      </w:r>
      <w:r>
        <w:rPr>
          <w:bCs/>
          <w:b/>
        </w:rPr>
        <w:t xml:space="preserve">0</w:t>
      </w:r>
      <w:r>
        <w:t xml:space="preserve">.</w:t>
      </w:r>
      <w:r>
        <w:t xml:space="preserve"> </w:t>
      </w:r>
      <w:r>
        <w:t xml:space="preserve">- Bases eletrônicas:</w:t>
      </w:r>
      <w:r>
        <w:t xml:space="preserve"> </w:t>
      </w:r>
      <w:r>
        <w:rPr>
          <w:bCs/>
          <w:b/>
        </w:rPr>
        <w:t xml:space="preserve">16.707</w:t>
      </w:r>
      <w:r>
        <w:t xml:space="preserve">; total com cinzenta:</w:t>
      </w:r>
      <w:r>
        <w:t xml:space="preserve"> </w:t>
      </w:r>
      <w:r>
        <w:rPr>
          <w:bCs/>
          <w:b/>
        </w:rPr>
        <w:t xml:space="preserve">16.757</w:t>
      </w:r>
      <w:r>
        <w:t xml:space="preserve">.</w:t>
      </w:r>
    </w:p>
    <w:p>
      <w:pPr>
        <w:pStyle w:val="BodyText"/>
      </w:pPr>
      <w:r>
        <w:rPr>
          <w:bCs/>
          <w:b/>
        </w:rPr>
        <w:t xml:space="preserve">Seleção (fluxo PRISMA)</w:t>
      </w:r>
      <w:r>
        <w:t xml:space="preserve"> </w:t>
      </w:r>
      <w:r>
        <w:t xml:space="preserve">-</w:t>
      </w:r>
      <w:r>
        <w:t xml:space="preserve"> </w:t>
      </w:r>
      <w:r>
        <w:rPr>
          <w:bCs/>
          <w:b/>
        </w:rPr>
        <w:t xml:space="preserve">8</w:t>
      </w:r>
      <w:r>
        <w:t xml:space="preserve"> </w:t>
      </w:r>
      <w:r>
        <w:t xml:space="preserve">não exportados →</w:t>
      </w:r>
      <w:r>
        <w:t xml:space="preserve"> </w:t>
      </w:r>
      <w:r>
        <w:rPr>
          <w:bCs/>
          <w:b/>
        </w:rPr>
        <w:t xml:space="preserve">16.749</w:t>
      </w:r>
      <w:r>
        <w:t xml:space="preserve"> </w:t>
      </w:r>
      <w:r>
        <w:t xml:space="preserve">deduplicados →</w:t>
      </w:r>
      <w:r>
        <w:t xml:space="preserve"> </w:t>
      </w:r>
      <w:r>
        <w:rPr>
          <w:bCs/>
          <w:b/>
        </w:rPr>
        <w:t xml:space="preserve">5.839</w:t>
      </w:r>
      <w:r>
        <w:t xml:space="preserve"> </w:t>
      </w:r>
      <w:r>
        <w:t xml:space="preserve">duplicatas →</w:t>
      </w:r>
      <w:r>
        <w:t xml:space="preserve"> </w:t>
      </w:r>
      <w:r>
        <w:rPr>
          <w:bCs/>
          <w:b/>
        </w:rPr>
        <w:t xml:space="preserve">10.910</w:t>
      </w:r>
      <w:r>
        <w:t xml:space="preserve"> </w:t>
      </w:r>
      <w:r>
        <w:t xml:space="preserve">únicos triados por</w:t>
      </w:r>
      <w:r>
        <w:t xml:space="preserve"> </w:t>
      </w:r>
      <w:r>
        <w:rPr>
          <w:bCs/>
          <w:b/>
        </w:rPr>
        <w:t xml:space="preserve">1 revisor</w:t>
      </w:r>
      <w:r>
        <w:t xml:space="preserve">.</w:t>
      </w:r>
      <w:r>
        <w:t xml:space="preserve"> </w:t>
      </w:r>
      <w:r>
        <w:t xml:space="preserve">-</w:t>
      </w:r>
      <w:r>
        <w:t xml:space="preserve"> </w:t>
      </w:r>
      <w:r>
        <w:rPr>
          <w:bCs/>
          <w:b/>
        </w:rPr>
        <w:t xml:space="preserve">10.882</w:t>
      </w:r>
      <w:r>
        <w:t xml:space="preserve"> </w:t>
      </w:r>
      <w:r>
        <w:t xml:space="preserve">excluídos na triagem →</w:t>
      </w:r>
      <w:r>
        <w:t xml:space="preserve"> </w:t>
      </w:r>
      <w:r>
        <w:rPr>
          <w:bCs/>
          <w:b/>
        </w:rPr>
        <w:t xml:space="preserve">28</w:t>
      </w:r>
      <w:r>
        <w:t xml:space="preserve"> </w:t>
      </w:r>
      <w:r>
        <w:t xml:space="preserve">para texto completo.</w:t>
      </w:r>
      <w:r>
        <w:t xml:space="preserve"> </w:t>
      </w:r>
      <w:r>
        <w:t xml:space="preserve">- Busca por citação:</w:t>
      </w:r>
      <w:r>
        <w:t xml:space="preserve"> </w:t>
      </w:r>
      <w:r>
        <w:rPr>
          <w:bCs/>
          <w:b/>
        </w:rPr>
        <w:t xml:space="preserve">443</w:t>
      </w:r>
      <w:r>
        <w:t xml:space="preserve"> </w:t>
      </w:r>
      <w:r>
        <w:t xml:space="preserve">referências avaliadas →</w:t>
      </w:r>
      <w:r>
        <w:t xml:space="preserve"> </w:t>
      </w:r>
      <w:r>
        <w:rPr>
          <w:bCs/>
          <w:b/>
        </w:rPr>
        <w:t xml:space="preserve">4</w:t>
      </w:r>
      <w:r>
        <w:t xml:space="preserve"> </w:t>
      </w:r>
      <w:r>
        <w:t xml:space="preserve">para texto completo (todos recuperados).</w:t>
      </w:r>
      <w:r>
        <w:t xml:space="preserve"> </w:t>
      </w:r>
      <w:r>
        <w:t xml:space="preserve">-</w:t>
      </w:r>
      <w:r>
        <w:t xml:space="preserve"> </w:t>
      </w:r>
      <w:r>
        <w:rPr>
          <w:bCs/>
          <w:b/>
        </w:rPr>
        <w:t xml:space="preserve">32</w:t>
      </w:r>
      <w:r>
        <w:t xml:space="preserve"> </w:t>
      </w:r>
      <w:r>
        <w:t xml:space="preserve">buscados →</w:t>
      </w:r>
      <w:r>
        <w:t xml:space="preserve"> </w:t>
      </w:r>
      <w:r>
        <w:rPr>
          <w:bCs/>
          <w:b/>
        </w:rPr>
        <w:t xml:space="preserve">6</w:t>
      </w:r>
      <w:r>
        <w:t xml:space="preserve"> </w:t>
      </w:r>
      <w:r>
        <w:t xml:space="preserve">não recuperados →</w:t>
      </w:r>
      <w:r>
        <w:t xml:space="preserve"> </w:t>
      </w:r>
      <w:r>
        <w:rPr>
          <w:bCs/>
          <w:b/>
        </w:rPr>
        <w:t xml:space="preserve">26</w:t>
      </w:r>
      <w:r>
        <w:t xml:space="preserve"> </w:t>
      </w:r>
      <w:r>
        <w:t xml:space="preserve">avaliados →</w:t>
      </w:r>
      <w:r>
        <w:t xml:space="preserve"> </w:t>
      </w:r>
      <w:r>
        <w:rPr>
          <w:bCs/>
          <w:b/>
        </w:rPr>
        <w:t xml:space="preserve">4</w:t>
      </w:r>
      <w:r>
        <w:t xml:space="preserve"> </w:t>
      </w:r>
      <w:r>
        <w:t xml:space="preserve">excluídos (</w:t>
      </w:r>
      <w:r>
        <w:rPr>
          <w:bCs/>
          <w:b/>
        </w:rPr>
        <w:t xml:space="preserve">1</w:t>
      </w:r>
      <w:r>
        <w:t xml:space="preserve"> </w:t>
      </w:r>
      <w:r>
        <w:t xml:space="preserve">resumo de congresso +</w:t>
      </w:r>
      <w:r>
        <w:t xml:space="preserve"> </w:t>
      </w:r>
      <w:r>
        <w:rPr>
          <w:bCs/>
          <w:b/>
        </w:rPr>
        <w:t xml:space="preserve">3</w:t>
      </w:r>
      <w:r>
        <w:t xml:space="preserve"> </w:t>
      </w:r>
      <w:r>
        <w:t xml:space="preserve">população/contexto) →</w:t>
      </w:r>
      <w:r>
        <w:t xml:space="preserve"> </w:t>
      </w:r>
      <w:r>
        <w:rPr>
          <w:bCs/>
          <w:b/>
        </w:rPr>
        <w:t xml:space="preserve">22</w:t>
      </w:r>
      <w:r>
        <w:t xml:space="preserve"> </w:t>
      </w:r>
      <w:r>
        <w:t xml:space="preserve">incluídos.</w:t>
      </w:r>
    </w:p>
    <w:p>
      <w:pPr>
        <w:pStyle w:val="BodyText"/>
      </w:pPr>
      <w:r>
        <w:rPr>
          <w:bCs/>
          <w:b/>
        </w:rPr>
        <w:t xml:space="preserve">Incluídos</w:t>
      </w:r>
      <w:r>
        <w:t xml:space="preserve"> </w:t>
      </w:r>
      <w:r>
        <w:t xml:space="preserve">-</w:t>
      </w:r>
      <w:r>
        <w:t xml:space="preserve"> </w:t>
      </w:r>
      <w:r>
        <w:rPr>
          <w:bCs/>
          <w:b/>
        </w:rPr>
        <w:t xml:space="preserve">22 relatórios</w:t>
      </w:r>
      <w:r>
        <w:t xml:space="preserve">,</w:t>
      </w:r>
      <w:r>
        <w:t xml:space="preserve"> </w:t>
      </w:r>
      <w:r>
        <w:rPr>
          <w:bCs/>
          <w:b/>
        </w:rPr>
        <w:t xml:space="preserve">9 países</w:t>
      </w:r>
      <w:r>
        <w:t xml:space="preserve"> </w:t>
      </w:r>
      <w:r>
        <w:t xml:space="preserve">(Turquia, Malásia, Brasil, Paquistão, China, México, Estados Unidos, Sudão, Tailândia),</w:t>
      </w:r>
      <w:r>
        <w:t xml:space="preserve"> </w:t>
      </w:r>
      <w:r>
        <w:rPr>
          <w:bCs/>
          <w:b/>
        </w:rPr>
        <w:t xml:space="preserve">3</w:t>
      </w:r>
      <w:r>
        <w:t xml:space="preserve"> </w:t>
      </w:r>
      <w:r>
        <w:t xml:space="preserve">coortes prospectivas.</w:t>
      </w:r>
      <w:r>
        <w:t xml:space="preserve"> </w:t>
      </w:r>
      <w:r>
        <w:t xml:space="preserve">-</w:t>
      </w:r>
      <w:r>
        <w:t xml:space="preserve"> </w:t>
      </w:r>
      <w:r>
        <w:rPr>
          <w:bCs/>
          <w:b/>
        </w:rPr>
        <w:t xml:space="preserve">7</w:t>
      </w:r>
      <w:r>
        <w:t xml:space="preserve"> </w:t>
      </w:r>
      <w:r>
        <w:t xml:space="preserve">publicações no cluster do Paraná →</w:t>
      </w:r>
      <w:r>
        <w:t xml:space="preserve"> </w:t>
      </w:r>
      <w:r>
        <w:rPr>
          <w:bCs/>
          <w:b/>
        </w:rPr>
        <w:t xml:space="preserve">1</w:t>
      </w:r>
      <w:r>
        <w:t xml:space="preserve"> </w:t>
      </w:r>
      <w:r>
        <w:t xml:space="preserve">representante (Bieniek 2022, n = 155).</w:t>
      </w:r>
      <w:r>
        <w:t xml:space="preserve"> </w:t>
      </w:r>
      <w:r>
        <w:t xml:space="preserve">-</w:t>
      </w:r>
      <w:r>
        <w:t xml:space="preserve"> </w:t>
      </w:r>
      <w:r>
        <w:rPr>
          <w:bCs/>
          <w:b/>
        </w:rPr>
        <w:t xml:space="preserve">1</w:t>
      </w:r>
      <w:r>
        <w:t xml:space="preserve"> </w:t>
      </w:r>
      <w:r>
        <w:t xml:space="preserve">resumo de congresso incluído (Mohd Fikri Rosely 2022, n = 196).</w:t>
      </w:r>
      <w:r>
        <w:t xml:space="preserve"> </w:t>
      </w:r>
      <w:r>
        <w:t xml:space="preserve">- Agrupamentos: ocular</w:t>
      </w:r>
      <w:r>
        <w:t xml:space="preserve"> </w:t>
      </w:r>
      <w:r>
        <w:rPr>
          <w:bCs/>
          <w:b/>
        </w:rPr>
        <w:t xml:space="preserve">6 estudos, n = 756</w:t>
      </w:r>
      <w:r>
        <w:t xml:space="preserve">; respiratório</w:t>
      </w:r>
      <w:r>
        <w:t xml:space="preserve"> </w:t>
      </w:r>
      <w:r>
        <w:rPr>
          <w:bCs/>
          <w:b/>
        </w:rPr>
        <w:t xml:space="preserve">7 estudos, n = 1.428</w:t>
      </w:r>
      <w:r>
        <w:t xml:space="preserve">; o maior inquérito (Van Giersbergen 2019, n = 672) só entra no respiratório.</w:t>
      </w:r>
    </w:p>
    <w:bookmarkEnd w:id="63"/>
    <w:bookmarkEnd w:id="64"/>
    <w:bookmarkStart w:id="79" w:name="X9c6d040f5a16e5bdcd97e2f44ba180036c66410"/>
    <w:p>
      <w:pPr>
        <w:pStyle w:val="Heading2"/>
      </w:pPr>
      <w:r>
        <w:t xml:space="preserve">Parte 3 — Passo 6: a metanálise de prevalência, passo a passo, com contas</w:t>
      </w:r>
    </w:p>
    <w:p>
      <w:pPr>
        <w:pStyle w:val="FirstParagraph"/>
      </w:pPr>
      <w:r>
        <w:t xml:space="preserve">Esta é a parte do trabalho em que a banca mais gosta de testar se o aluno</w:t>
      </w:r>
      <w:r>
        <w:t xml:space="preserve"> </w:t>
      </w:r>
      <w:r>
        <w:t xml:space="preserve">“</w:t>
      </w:r>
      <w:r>
        <w:t xml:space="preserve">sabe o que o programa fez</w:t>
      </w:r>
      <w:r>
        <w:t xml:space="preserve">”</w:t>
      </w:r>
      <w:r>
        <w:t xml:space="preserve">. A boa notícia: a sua metanálise principal cabe em meia dúzia de operações aritméticas que você consegue refazer à mão. Vamos percorrê-las na ordem exata em que o seu código Python (NumPy 2.4, SciPy 1.18, statsmodels 0.14) as executou, usando os números reais do Anexo D.</w:t>
      </w:r>
    </w:p>
    <w:p>
      <w:pPr>
        <w:pStyle w:val="BodyText"/>
      </w:pPr>
      <w:r>
        <w:rPr>
          <w:bCs/>
          <w:b/>
        </w:rPr>
        <w:t xml:space="preserve">Convenção de marcação usada nesta seção:</w:t>
      </w:r>
    </w:p>
    <w:p>
      <w:pPr>
        <w:numPr>
          <w:ilvl w:val="0"/>
          <w:numId w:val="1006"/>
        </w:numPr>
        <w:pStyle w:val="Compact"/>
      </w:pPr>
      <w:r>
        <w:rPr>
          <w:bCs/>
          <w:b/>
        </w:rPr>
        <w:t xml:space="preserve">[deste trabalho]</w:t>
      </w:r>
      <w:r>
        <w:t xml:space="preserve"> </w:t>
      </w:r>
      <w:r>
        <w:t xml:space="preserve">= número ou decisão que consta no manuscrito (Métodos, Resultados, Anexos D e G, Figuras 2, 3, G1 e G2).</w:t>
      </w:r>
    </w:p>
    <w:p>
      <w:pPr>
        <w:numPr>
          <w:ilvl w:val="0"/>
          <w:numId w:val="1006"/>
        </w:numPr>
        <w:pStyle w:val="Compact"/>
      </w:pPr>
      <w:r>
        <w:rPr>
          <w:bCs/>
          <w:b/>
        </w:rPr>
        <w:t xml:space="preserve">[conhecimento geral]</w:t>
      </w:r>
      <w:r>
        <w:t xml:space="preserve"> </w:t>
      </w:r>
      <w:r>
        <w:t xml:space="preserve">= teoria metodológica que não está escrita no manuscrito, mas que sustenta o que você fez.</w:t>
      </w:r>
    </w:p>
    <w:p>
      <w:pPr>
        <w:numPr>
          <w:ilvl w:val="0"/>
          <w:numId w:val="1006"/>
        </w:numPr>
        <w:pStyle w:val="Compact"/>
      </w:pPr>
      <w:r>
        <w:rPr>
          <w:bCs/>
          <w:b/>
        </w:rPr>
        <w:t xml:space="preserve">[conta minha, a partir do Anexo D]</w:t>
      </w:r>
      <w:r>
        <w:t xml:space="preserve"> </w:t>
      </w:r>
      <w:r>
        <w:t xml:space="preserve">= valor que eu recalculei com os eventos e denominadores do Anexo D para ilustrar o passo. Esses valores reproduzem os do manuscrito até a casa decimal reportada; use-os para entender, mas cite na defesa os números do manuscrito.</w:t>
      </w:r>
    </w:p>
    <w:bookmarkStart w:id="65" w:name="o-mapa-do-cálculo-em-uma-linha"/>
    <w:p>
      <w:pPr>
        <w:pStyle w:val="Heading3"/>
      </w:pPr>
      <w:r>
        <w:t xml:space="preserve">O mapa do cálculo em uma linha</w:t>
      </w:r>
    </w:p>
    <w:p>
      <w:pPr>
        <w:pStyle w:val="SourceCode"/>
      </w:pPr>
      <w:r>
        <w:rPr>
          <w:rStyle w:val="VerbatimChar"/>
        </w:rPr>
        <w:t xml:space="preserve">eventos/n  →  proporção p  →  logito y = ln[p/(1−p)]  →  variância v = 1/e + 1/(n−e)</w:t>
      </w:r>
      <w:r>
        <w:br/>
      </w:r>
      <w:r>
        <w:rPr>
          <w:rStyle w:val="VerbatimChar"/>
        </w:rPr>
        <w:t xml:space="preserve">          →  tau² (Paule-Mandel)  →  peso w = 1/(v + tau²)  →  média ponderada dos logitos</w:t>
      </w:r>
      <w:r>
        <w:br/>
      </w:r>
      <w:r>
        <w:rPr>
          <w:rStyle w:val="VerbatimChar"/>
        </w:rPr>
        <w:t xml:space="preserve">          →  IC95% com Hartung-Knapp (t com k−1 gl)  →  retrotransformação p = e^x/(1+e^x)</w:t>
      </w:r>
      <w:r>
        <w:br/>
      </w:r>
      <w:r>
        <w:rPr>
          <w:rStyle w:val="VerbatimChar"/>
        </w:rPr>
        <w:t xml:space="preserve">          →  Q, I², intervalo de predição  →  análises de sensibilidade</w:t>
      </w:r>
    </w:p>
    <w:p>
      <w:pPr>
        <w:pStyle w:val="FirstParagraph"/>
      </w:pPr>
      <w:r>
        <w:t xml:space="preserve">Guarde esse mapa. Cada subseção abaixo é uma caixa dele.</w:t>
      </w:r>
    </w:p>
    <w:bookmarkEnd w:id="65"/>
    <w:bookmarkStart w:id="66" w:name="X13ebed784333e3fe177640a5dcb7b0fe9127fbd"/>
    <w:p>
      <w:pPr>
        <w:pStyle w:val="Heading3"/>
      </w:pPr>
      <w:r>
        <w:t xml:space="preserve">6.1 Ponto de partida: a proporção de cada estudo e o IC de Wilson</w:t>
      </w:r>
    </w:p>
    <w:p>
      <w:pPr>
        <w:pStyle w:val="FirstParagraph"/>
      </w:pPr>
      <w:r>
        <w:rPr>
          <w:bCs/>
          <w:b/>
        </w:rPr>
        <w:t xml:space="preserve">O dado bruto [deste trabalho].</w:t>
      </w:r>
      <w:r>
        <w:t xml:space="preserve"> </w:t>
      </w:r>
      <w:r>
        <w:t xml:space="preserve">Para o sintoma ocular, o Anexo D traz seis pares eventos/denominador: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Eventos (e)</w:t>
            </w:r>
          </w:p>
        </w:tc>
        <w:tc>
          <w:tcPr/>
          <w:p>
            <w:pPr>
              <w:pStyle w:val="Compact"/>
              <w:jc w:val="left"/>
            </w:pPr>
            <w:r>
              <w:t xml:space="preserve">N</w:t>
            </w:r>
          </w:p>
        </w:tc>
        <w:tc>
          <w:tcPr/>
          <w:p>
            <w:pPr>
              <w:pStyle w:val="Compact"/>
              <w:jc w:val="left"/>
            </w:pPr>
            <w:r>
              <w:t xml:space="preserve">Prevalência</w:t>
            </w:r>
          </w:p>
        </w:tc>
      </w:tr>
      <w:tr>
        <w:tc>
          <w:tcPr/>
          <w:p>
            <w:pPr>
              <w:pStyle w:val="Compact"/>
              <w:jc w:val="left"/>
            </w:pPr>
            <w:r>
              <w:t xml:space="preserve">İlçe et al., 2017 (Turquia)</w:t>
            </w:r>
          </w:p>
        </w:tc>
        <w:tc>
          <w:tcPr/>
          <w:p>
            <w:pPr>
              <w:pStyle w:val="Compact"/>
              <w:jc w:val="left"/>
            </w:pPr>
            <w:r>
              <w:t xml:space="preserve">33</w:t>
            </w:r>
          </w:p>
        </w:tc>
        <w:tc>
          <w:tcPr/>
          <w:p>
            <w:pPr>
              <w:pStyle w:val="Compact"/>
              <w:jc w:val="left"/>
            </w:pPr>
            <w:r>
              <w:t xml:space="preserve">81</w:t>
            </w:r>
          </w:p>
        </w:tc>
        <w:tc>
          <w:tcPr/>
          <w:p>
            <w:pPr>
              <w:pStyle w:val="Compact"/>
              <w:jc w:val="left"/>
            </w:pPr>
            <w:r>
              <w:t xml:space="preserve">40,7%</w:t>
            </w:r>
          </w:p>
        </w:tc>
      </w:tr>
      <w:tr>
        <w:tc>
          <w:tcPr/>
          <w:p>
            <w:pPr>
              <w:pStyle w:val="Compact"/>
              <w:jc w:val="left"/>
            </w:pPr>
            <w:r>
              <w:t xml:space="preserve">Cinar; Sanlier, 2022 (Turquia)</w:t>
            </w:r>
          </w:p>
        </w:tc>
        <w:tc>
          <w:tcPr/>
          <w:p>
            <w:pPr>
              <w:pStyle w:val="Compact"/>
              <w:jc w:val="left"/>
            </w:pPr>
            <w:r>
              <w:t xml:space="preserve">46</w:t>
            </w:r>
          </w:p>
        </w:tc>
        <w:tc>
          <w:tcPr/>
          <w:p>
            <w:pPr>
              <w:pStyle w:val="Compact"/>
              <w:jc w:val="left"/>
            </w:pPr>
            <w:r>
              <w:t xml:space="preserve">82</w:t>
            </w:r>
          </w:p>
        </w:tc>
        <w:tc>
          <w:tcPr/>
          <w:p>
            <w:pPr>
              <w:pStyle w:val="Compact"/>
              <w:jc w:val="left"/>
            </w:pPr>
            <w:r>
              <w:t xml:space="preserve">56,1%</w:t>
            </w:r>
          </w:p>
        </w:tc>
      </w:tr>
      <w:tr>
        <w:tc>
          <w:tcPr/>
          <w:p>
            <w:pPr>
              <w:pStyle w:val="Compact"/>
              <w:jc w:val="left"/>
            </w:pPr>
            <w:r>
              <w:t xml:space="preserve">Usta et al., 2019 (Turquia)</w:t>
            </w:r>
          </w:p>
        </w:tc>
        <w:tc>
          <w:tcPr/>
          <w:p>
            <w:pPr>
              <w:pStyle w:val="Compact"/>
              <w:jc w:val="left"/>
            </w:pPr>
            <w:r>
              <w:t xml:space="preserve">57</w:t>
            </w:r>
          </w:p>
        </w:tc>
        <w:tc>
          <w:tcPr/>
          <w:p>
            <w:pPr>
              <w:pStyle w:val="Compact"/>
              <w:jc w:val="left"/>
            </w:pPr>
            <w:r>
              <w:t xml:space="preserve">105</w:t>
            </w:r>
          </w:p>
        </w:tc>
        <w:tc>
          <w:tcPr/>
          <w:p>
            <w:pPr>
              <w:pStyle w:val="Compact"/>
              <w:jc w:val="left"/>
            </w:pPr>
            <w:r>
              <w:t xml:space="preserve">54,3%</w:t>
            </w:r>
          </w:p>
        </w:tc>
      </w:tr>
      <w:tr>
        <w:tc>
          <w:tcPr/>
          <w:p>
            <w:pPr>
              <w:pStyle w:val="Compact"/>
              <w:jc w:val="left"/>
            </w:pPr>
            <w:r>
              <w:t xml:space="preserve">Mohd Fikri Rosely, 2022 (Malásia; resumo de congresso)</w:t>
            </w:r>
          </w:p>
        </w:tc>
        <w:tc>
          <w:tcPr/>
          <w:p>
            <w:pPr>
              <w:pStyle w:val="Compact"/>
              <w:jc w:val="left"/>
            </w:pPr>
            <w:r>
              <w:t xml:space="preserve">38</w:t>
            </w:r>
          </w:p>
        </w:tc>
        <w:tc>
          <w:tcPr/>
          <w:p>
            <w:pPr>
              <w:pStyle w:val="Compact"/>
              <w:jc w:val="left"/>
            </w:pPr>
            <w:r>
              <w:t xml:space="preserve">196</w:t>
            </w:r>
          </w:p>
        </w:tc>
        <w:tc>
          <w:tcPr/>
          <w:p>
            <w:pPr>
              <w:pStyle w:val="Compact"/>
              <w:jc w:val="left"/>
            </w:pPr>
            <w:r>
              <w:t xml:space="preserve">19,4%</w:t>
            </w:r>
          </w:p>
        </w:tc>
      </w:tr>
      <w:tr>
        <w:tc>
          <w:tcPr/>
          <w:p>
            <w:pPr>
              <w:pStyle w:val="Compact"/>
              <w:jc w:val="left"/>
            </w:pPr>
            <w:r>
              <w:t xml:space="preserve">Mohd Fikri Rosely; Titi Rahmawati, 2019 (Malásia)</w:t>
            </w:r>
          </w:p>
        </w:tc>
        <w:tc>
          <w:tcPr/>
          <w:p>
            <w:pPr>
              <w:pStyle w:val="Compact"/>
              <w:jc w:val="left"/>
            </w:pPr>
            <w:r>
              <w:t xml:space="preserve">28</w:t>
            </w:r>
          </w:p>
        </w:tc>
        <w:tc>
          <w:tcPr/>
          <w:p>
            <w:pPr>
              <w:pStyle w:val="Compact"/>
              <w:jc w:val="left"/>
            </w:pPr>
            <w:r>
              <w:t xml:space="preserve">137</w:t>
            </w:r>
          </w:p>
        </w:tc>
        <w:tc>
          <w:tcPr/>
          <w:p>
            <w:pPr>
              <w:pStyle w:val="Compact"/>
              <w:jc w:val="left"/>
            </w:pPr>
            <w:r>
              <w:t xml:space="preserve">20,4%</w:t>
            </w:r>
          </w:p>
        </w:tc>
      </w:tr>
      <w:tr>
        <w:tc>
          <w:tcPr/>
          <w:p>
            <w:pPr>
              <w:pStyle w:val="Compact"/>
              <w:jc w:val="left"/>
            </w:pPr>
            <w:r>
              <w:t xml:space="preserve">Bieniek et al., 2022 (Brasil)</w:t>
            </w:r>
          </w:p>
        </w:tc>
        <w:tc>
          <w:tcPr/>
          <w:p>
            <w:pPr>
              <w:pStyle w:val="Compact"/>
              <w:jc w:val="left"/>
            </w:pPr>
            <w:r>
              <w:t xml:space="preserve">67</w:t>
            </w:r>
          </w:p>
        </w:tc>
        <w:tc>
          <w:tcPr/>
          <w:p>
            <w:pPr>
              <w:pStyle w:val="Compact"/>
              <w:jc w:val="left"/>
            </w:pPr>
            <w:r>
              <w:t xml:space="preserve">155</w:t>
            </w:r>
          </w:p>
        </w:tc>
        <w:tc>
          <w:tcPr/>
          <w:p>
            <w:pPr>
              <w:pStyle w:val="Compact"/>
              <w:jc w:val="left"/>
            </w:pPr>
            <w:r>
              <w:t xml:space="preserve">43,2%</w:t>
            </w:r>
          </w:p>
        </w:tc>
      </w:tr>
    </w:tbl>
    <w:p>
      <w:pPr>
        <w:pStyle w:val="BodyText"/>
      </w:pPr>
      <w:r>
        <w:t xml:space="preserve">Soma dos denominadores: 81 + 82 + 105 + 196 + 137 + 155 = 756, que é o</w:t>
      </w:r>
      <w:r>
        <w:t xml:space="preserve"> </w:t>
      </w:r>
      <w:r>
        <w:t xml:space="preserve">“</w:t>
      </w:r>
      <w:r>
        <w:t xml:space="preserve">n = 756</w:t>
      </w:r>
      <w:r>
        <w:t xml:space="preserve">”</w:t>
      </w:r>
      <w:r>
        <w:t xml:space="preserve"> </w:t>
      </w:r>
      <w:r>
        <w:t xml:space="preserve">do Resumo.</w:t>
      </w:r>
    </w:p>
    <w:p>
      <w:pPr>
        <w:pStyle w:val="BodyText"/>
      </w:pPr>
      <w:r>
        <w:rPr>
          <w:bCs/>
          <w:b/>
        </w:rPr>
        <w:t xml:space="preserve">A proporção.</w:t>
      </w:r>
      <w:r>
        <w:t xml:space="preserve"> </w:t>
      </w:r>
      <w:r>
        <w:t xml:space="preserve">Para İlçe 2017: p = 33/81 = 0,4074, ou 40,7%.</w:t>
      </w:r>
    </w:p>
    <w:p>
      <w:pPr>
        <w:pStyle w:val="BodyText"/>
      </w:pPr>
      <w:r>
        <w:rPr>
          <w:bCs/>
          <w:b/>
        </w:rPr>
        <w:t xml:space="preserve">O intervalo de confiança de Wilson [conhecimento geral; usado neste trabalho só para os ICs individuais das Figuras 2 e 3].</w:t>
      </w:r>
      <w:r>
        <w:t xml:space="preserve"> </w:t>
      </w:r>
      <w:r>
        <w:t xml:space="preserve">O IC</w:t>
      </w:r>
      <w:r>
        <w:t xml:space="preserve"> </w:t>
      </w:r>
      <w:r>
        <w:t xml:space="preserve">“</w:t>
      </w:r>
      <w:r>
        <w:t xml:space="preserve">ingênuo</w:t>
      </w:r>
      <w:r>
        <w:t xml:space="preserve">”</w:t>
      </w:r>
      <w:r>
        <w:t xml:space="preserve"> </w:t>
      </w:r>
      <w:r>
        <w:t xml:space="preserve">(Wald) é p ± 1,96·√[p(1−p)/n]. Ele é simétrico, pode ultrapassar 0% ou 100% e funciona mal com n pequeno ou p perto dos extremos. O de Wilson corrige isso recentrando o intervalo e usando uma fórmula que respeita os limites 0–1:</w:t>
      </w:r>
    </w:p>
    <w:p>
      <w:pPr>
        <w:pStyle w:val="SourceCode"/>
      </w:pPr>
      <w:r>
        <w:rPr>
          <w:rStyle w:val="VerbatimChar"/>
        </w:rPr>
        <w:t xml:space="preserve">centro = [p + z²/(2n)] / [1 + z²/n]</w:t>
      </w:r>
      <w:r>
        <w:br/>
      </w:r>
      <w:r>
        <w:rPr>
          <w:rStyle w:val="VerbatimChar"/>
        </w:rPr>
        <w:t xml:space="preserve">meia-largura = z · √[ p(1−p)/n + z²/(4n²) ] / [1 + z²/n]</w:t>
      </w:r>
    </w:p>
    <w:p>
      <w:pPr>
        <w:pStyle w:val="FirstParagraph"/>
      </w:pPr>
      <w:r>
        <w:t xml:space="preserve">com z = 1,96 (z² = 3,8416).</w:t>
      </w:r>
    </w:p>
    <w:p>
      <w:pPr>
        <w:pStyle w:val="BodyText"/>
      </w:pPr>
      <w:r>
        <w:rPr>
          <w:bCs/>
          <w:b/>
        </w:rPr>
        <w:t xml:space="preserve">Conta para 33/81 [conta minha, a partir do Anexo D]:</w:t>
      </w:r>
    </w:p>
    <w:p>
      <w:pPr>
        <w:numPr>
          <w:ilvl w:val="0"/>
          <w:numId w:val="1007"/>
        </w:numPr>
        <w:pStyle w:val="Compact"/>
      </w:pPr>
      <w:r>
        <w:t xml:space="preserve">z²/n = 3,8416/81 = 0,0474; z²/(2n) = 0,0237</w:t>
      </w:r>
    </w:p>
    <w:p>
      <w:pPr>
        <w:numPr>
          <w:ilvl w:val="0"/>
          <w:numId w:val="1007"/>
        </w:numPr>
        <w:pStyle w:val="Compact"/>
      </w:pPr>
      <w:r>
        <w:t xml:space="preserve">centro = (0,4074 + 0,0237)/(1 + 0,0474) = 0,4311/1,0474 = 0,4116</w:t>
      </w:r>
    </w:p>
    <w:p>
      <w:pPr>
        <w:numPr>
          <w:ilvl w:val="0"/>
          <w:numId w:val="1007"/>
        </w:numPr>
        <w:pStyle w:val="Compact"/>
      </w:pPr>
      <w:r>
        <w:t xml:space="preserve">p(1−p)/n = 0,4074 × 0,5926/81 = 0,002981</w:t>
      </w:r>
    </w:p>
    <w:p>
      <w:pPr>
        <w:numPr>
          <w:ilvl w:val="0"/>
          <w:numId w:val="1007"/>
        </w:numPr>
        <w:pStyle w:val="Compact"/>
      </w:pPr>
      <w:r>
        <w:t xml:space="preserve">z²/(4n²) = 3,8416/(4 × 6.561) = 0,000146</w:t>
      </w:r>
    </w:p>
    <w:p>
      <w:pPr>
        <w:numPr>
          <w:ilvl w:val="0"/>
          <w:numId w:val="1007"/>
        </w:numPr>
        <w:pStyle w:val="Compact"/>
      </w:pPr>
      <w:r>
        <w:t xml:space="preserve">√(0,002981 + 0,000146) = √0,003127 = 0,0559</w:t>
      </w:r>
    </w:p>
    <w:p>
      <w:pPr>
        <w:numPr>
          <w:ilvl w:val="0"/>
          <w:numId w:val="1007"/>
        </w:numPr>
        <w:pStyle w:val="Compact"/>
      </w:pPr>
      <w:r>
        <w:t xml:space="preserve">meia-largura = 1,96 × 0,0559/1,0474 = 0,1046</w:t>
      </w:r>
    </w:p>
    <w:p>
      <w:pPr>
        <w:numPr>
          <w:ilvl w:val="0"/>
          <w:numId w:val="1007"/>
        </w:numPr>
        <w:pStyle w:val="Compact"/>
      </w:pPr>
      <w:r>
        <w:t xml:space="preserve">IC95% de Wilson = 0,4116 ± 0,1046 =</w:t>
      </w:r>
      <w:r>
        <w:t xml:space="preserve"> </w:t>
      </w:r>
      <w:r>
        <w:rPr>
          <w:bCs/>
          <w:b/>
        </w:rPr>
        <w:t xml:space="preserve">0,307 a 0,516 → 31% a 52%</w:t>
      </w:r>
    </w:p>
    <w:p>
      <w:pPr>
        <w:pStyle w:val="FirstParagraph"/>
      </w:pPr>
      <w:r>
        <w:t xml:space="preserve">Confira na Figura 2: a linha de İlçe diz</w:t>
      </w:r>
      <w:r>
        <w:t xml:space="preserve"> </w:t>
      </w:r>
      <w:r>
        <w:t xml:space="preserve">“</w:t>
      </w:r>
      <w:r>
        <w:t xml:space="preserve">33/81 = 40,7% (IC95% 31-52)</w:t>
      </w:r>
      <w:r>
        <w:t xml:space="preserve">”</w:t>
      </w:r>
      <w:r>
        <w:t xml:space="preserve">. Repare que o centro do intervalo (41,2%) não é exatamente a prevalência (40,7%): o Wilson</w:t>
      </w:r>
      <w:r>
        <w:t xml:space="preserve"> </w:t>
      </w:r>
      <w:r>
        <w:t xml:space="preserve">“</w:t>
      </w:r>
      <w:r>
        <w:t xml:space="preserve">puxa</w:t>
      </w:r>
      <w:r>
        <w:t xml:space="preserve">”</w:t>
      </w:r>
      <w:r>
        <w:t xml:space="preserve"> </w:t>
      </w:r>
      <w:r>
        <w:t xml:space="preserve">levemente o intervalo em direção a 50%. Esse detalhe mostra que você entendeu a fórmula.</w:t>
      </w:r>
    </w:p>
    <w:p>
      <w:pPr>
        <w:pStyle w:val="BodyText"/>
      </w:pPr>
      <w:r>
        <w:rPr>
          <w:bCs/>
          <w:b/>
        </w:rPr>
        <w:t xml:space="preserve">O que dizer se perguntarem</w:t>
      </w:r>
      <w:r>
        <w:rPr>
          <w:bCs/>
          <w:b/>
        </w:rPr>
        <w:t xml:space="preserve"> </w:t>
      </w:r>
      <w:r>
        <w:rPr>
          <w:bCs/>
          <w:b/>
        </w:rPr>
        <w:t xml:space="preserve">“</w:t>
      </w:r>
      <w:r>
        <w:rPr>
          <w:bCs/>
          <w:b/>
        </w:rPr>
        <w:t xml:space="preserve">por que Wilson?</w:t>
      </w:r>
      <w:r>
        <w:rPr>
          <w:bCs/>
          <w:b/>
        </w:rPr>
        <w:t xml:space="preserve">”</w:t>
      </w:r>
      <w:r>
        <w:rPr>
          <w:bCs/>
          <w:b/>
        </w:rPr>
        <w:t xml:space="preserve">:</w:t>
      </w:r>
      <w:r>
        <w:t xml:space="preserve"> </w:t>
      </w:r>
      <w:r>
        <w:t xml:space="preserve">porque é o intervalo recomendado para proporções individuais, com boa cobertura mesmo com n pequeno e sem estourar os limites 0–100%. E deixe claro: Wilson só entrou nos ICs de cada estudo no gráfico de floresta; a combinação dos estudos não usa Wilson, usa o logito (próximo passo).</w:t>
      </w:r>
    </w:p>
    <w:bookmarkEnd w:id="66"/>
    <w:bookmarkStart w:id="67" w:name="Xc9f973a094423d34d52012090be320a4aed53f9"/>
    <w:p>
      <w:pPr>
        <w:pStyle w:val="Heading3"/>
      </w:pPr>
      <w:r>
        <w:t xml:space="preserve">6.2 Transformação logito: a escala em que as contas acontecem</w:t>
      </w:r>
    </w:p>
    <w:p>
      <w:pPr>
        <w:pStyle w:val="FirstParagraph"/>
      </w:pPr>
      <w:r>
        <w:rPr>
          <w:bCs/>
          <w:b/>
        </w:rPr>
        <w:t xml:space="preserve">A fórmula [conhecimento geral].</w:t>
      </w:r>
      <w:r>
        <w:t xml:space="preserve"> </w:t>
      </w:r>
      <w:r>
        <w:t xml:space="preserve">A chance (odds) é p/(1−p). O logito é o logaritmo natural da chance:</w:t>
      </w:r>
    </w:p>
    <w:p>
      <w:pPr>
        <w:pStyle w:val="SourceCode"/>
      </w:pPr>
      <w:r>
        <w:rPr>
          <w:rStyle w:val="VerbatimChar"/>
        </w:rPr>
        <w:t xml:space="preserve">y = logit(p) = ln[ p / (1 − p) ]</w:t>
      </w:r>
    </w:p>
    <w:p>
      <w:pPr>
        <w:pStyle w:val="FirstParagraph"/>
      </w:pPr>
      <w:r>
        <w:rPr>
          <w:bCs/>
          <w:b/>
        </w:rPr>
        <w:t xml:space="preserve">Conta para 33/81 [conta minha, a partir do Anexo D]:</w:t>
      </w:r>
    </w:p>
    <w:p>
      <w:pPr>
        <w:numPr>
          <w:ilvl w:val="0"/>
          <w:numId w:val="1008"/>
        </w:numPr>
        <w:pStyle w:val="Compact"/>
      </w:pPr>
      <w:r>
        <w:t xml:space="preserve">odds = 33/48 = 0,6875 (33 com sintoma para 48 sem)</w:t>
      </w:r>
    </w:p>
    <w:p>
      <w:pPr>
        <w:numPr>
          <w:ilvl w:val="0"/>
          <w:numId w:val="1008"/>
        </w:numPr>
        <w:pStyle w:val="Compact"/>
      </w:pPr>
      <w:r>
        <w:t xml:space="preserve">y = ln(0,6875) =</w:t>
      </w:r>
      <w:r>
        <w:t xml:space="preserve"> </w:t>
      </w:r>
      <w:r>
        <w:rPr>
          <w:bCs/>
          <w:b/>
        </w:rPr>
        <w:t xml:space="preserve">−0,375</w:t>
      </w:r>
    </w:p>
    <w:p>
      <w:pPr>
        <w:pStyle w:val="FirstParagraph"/>
      </w:pPr>
      <w:r>
        <w:t xml:space="preserve">Um logito negativo significa prevalência abaixo de 50%; zero é exatamente 50%; positivo, acima de 50%.</w:t>
      </w:r>
    </w:p>
    <w:p>
      <w:pPr>
        <w:pStyle w:val="BodyText"/>
      </w:pPr>
      <w:r>
        <w:rPr>
          <w:bCs/>
          <w:b/>
        </w:rPr>
        <w:t xml:space="preserve">A variância aproximada [conhecimento geral; é a fórmula padrão da medida</w:t>
      </w:r>
      <w:r>
        <w:rPr>
          <w:bCs/>
          <w:b/>
        </w:rPr>
        <w:t xml:space="preserve"> </w:t>
      </w:r>
      <w:r>
        <w:rPr>
          <w:bCs/>
          <w:b/>
        </w:rPr>
        <w:t xml:space="preserve">“</w:t>
      </w:r>
      <w:r>
        <w:rPr>
          <w:bCs/>
          <w:b/>
        </w:rPr>
        <w:t xml:space="preserve">PLO</w:t>
      </w:r>
      <w:r>
        <w:rPr>
          <w:bCs/>
          <w:b/>
        </w:rPr>
        <w:t xml:space="preserve">”</w:t>
      </w:r>
      <w:r>
        <w:rPr>
          <w:bCs/>
          <w:b/>
        </w:rPr>
        <w:t xml:space="preserve"> </w:t>
      </w:r>
      <w:r>
        <w:rPr>
          <w:bCs/>
          <w:b/>
        </w:rPr>
        <w:t xml:space="preserve">do metafor].</w:t>
      </w:r>
      <w:r>
        <w:t xml:space="preserve"> </w:t>
      </w:r>
      <w:r>
        <w:t xml:space="preserve">Pelo método delta, Var(logit p) ≈ 1/[n·p·(1−p)], que se reescreve como:</w:t>
      </w:r>
    </w:p>
    <w:p>
      <w:pPr>
        <w:pStyle w:val="SourceCode"/>
      </w:pPr>
      <w:r>
        <w:rPr>
          <w:rStyle w:val="VerbatimChar"/>
        </w:rPr>
        <w:t xml:space="preserve">v = 1/e + 1/(n − e)</w:t>
      </w:r>
    </w:p>
    <w:p>
      <w:pPr>
        <w:pStyle w:val="FirstParagraph"/>
      </w:pPr>
      <w:r>
        <w:t xml:space="preserve">Para İlçe: v = 1/33 + 1/48 = 0,0303 + 0,0208 =</w:t>
      </w:r>
      <w:r>
        <w:t xml:space="preserve"> </w:t>
      </w:r>
      <w:r>
        <w:rPr>
          <w:bCs/>
          <w:b/>
        </w:rPr>
        <w:t xml:space="preserve">0,0511</w:t>
      </w:r>
      <w:r>
        <w:t xml:space="preserve">; erro-padrão = √0,0511 = 0,226.</w:t>
      </w:r>
    </w:p>
    <w:p>
      <w:pPr>
        <w:pStyle w:val="BodyText"/>
      </w:pPr>
      <w:r>
        <w:t xml:space="preserve">Intuição: a variância é pequena quando há muitos eventos E muitos não eventos. Um estudo com 1 evento em 1.000 tem v ≈ 1/1 + 1/999 ≈ 1,0, enorme, porque o</w:t>
      </w:r>
      <w:r>
        <w:t xml:space="preserve"> </w:t>
      </w:r>
      <w:r>
        <w:t xml:space="preserve">“</w:t>
      </w:r>
      <w:r>
        <w:t xml:space="preserve">1</w:t>
      </w:r>
      <w:r>
        <w:t xml:space="preserve">”</w:t>
      </w:r>
      <w:r>
        <w:t xml:space="preserve"> </w:t>
      </w:r>
      <w:r>
        <w:t xml:space="preserve">domina.</w:t>
      </w:r>
    </w:p>
    <w:p>
      <w:pPr>
        <w:pStyle w:val="BodyText"/>
      </w:pPr>
      <w:r>
        <w:rPr>
          <w:bCs/>
          <w:b/>
        </w:rPr>
        <w:t xml:space="preserve">Os seis logitos oculares [conta minha, a partir do Anexo 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Estudo</w:t>
            </w:r>
          </w:p>
        </w:tc>
        <w:tc>
          <w:tcPr/>
          <w:p>
            <w:pPr>
              <w:pStyle w:val="Compact"/>
              <w:jc w:val="left"/>
            </w:pPr>
            <w:r>
              <w:t xml:space="preserve">e/n</w:t>
            </w:r>
          </w:p>
        </w:tc>
        <w:tc>
          <w:tcPr/>
          <w:p>
            <w:pPr>
              <w:pStyle w:val="Compact"/>
              <w:jc w:val="left"/>
            </w:pPr>
            <w:r>
              <w:t xml:space="preserve">p</w:t>
            </w:r>
          </w:p>
        </w:tc>
        <w:tc>
          <w:tcPr/>
          <w:p>
            <w:pPr>
              <w:pStyle w:val="Compact"/>
              <w:jc w:val="left"/>
            </w:pPr>
            <w:r>
              <w:t xml:space="preserve">logito y</w:t>
            </w:r>
          </w:p>
        </w:tc>
        <w:tc>
          <w:tcPr/>
          <w:p>
            <w:pPr>
              <w:pStyle w:val="Compact"/>
              <w:jc w:val="left"/>
            </w:pPr>
            <w:r>
              <w:t xml:space="preserve">v = 1/e + 1/(n−e)</w:t>
            </w:r>
          </w:p>
        </w:tc>
      </w:tr>
      <w:tr>
        <w:tc>
          <w:tcPr/>
          <w:p>
            <w:pPr>
              <w:pStyle w:val="Compact"/>
              <w:jc w:val="left"/>
            </w:pPr>
            <w:r>
              <w:t xml:space="preserve">İlçe 2017</w:t>
            </w:r>
          </w:p>
        </w:tc>
        <w:tc>
          <w:tcPr/>
          <w:p>
            <w:pPr>
              <w:pStyle w:val="Compact"/>
              <w:jc w:val="left"/>
            </w:pPr>
            <w:r>
              <w:t xml:space="preserve">33/81</w:t>
            </w:r>
          </w:p>
        </w:tc>
        <w:tc>
          <w:tcPr/>
          <w:p>
            <w:pPr>
              <w:pStyle w:val="Compact"/>
              <w:jc w:val="left"/>
            </w:pPr>
            <w:r>
              <w:t xml:space="preserve">0,407</w:t>
            </w:r>
          </w:p>
        </w:tc>
        <w:tc>
          <w:tcPr/>
          <w:p>
            <w:pPr>
              <w:pStyle w:val="Compact"/>
              <w:jc w:val="left"/>
            </w:pPr>
            <w:r>
              <w:t xml:space="preserve">−0,375</w:t>
            </w:r>
          </w:p>
        </w:tc>
        <w:tc>
          <w:tcPr/>
          <w:p>
            <w:pPr>
              <w:pStyle w:val="Compact"/>
              <w:jc w:val="left"/>
            </w:pPr>
            <w:r>
              <w:t xml:space="preserve">0,0511</w:t>
            </w:r>
          </w:p>
        </w:tc>
      </w:tr>
      <w:tr>
        <w:tc>
          <w:tcPr/>
          <w:p>
            <w:pPr>
              <w:pStyle w:val="Compact"/>
              <w:jc w:val="left"/>
            </w:pPr>
            <w:r>
              <w:t xml:space="preserve">Cinar 2022</w:t>
            </w:r>
          </w:p>
        </w:tc>
        <w:tc>
          <w:tcPr/>
          <w:p>
            <w:pPr>
              <w:pStyle w:val="Compact"/>
              <w:jc w:val="left"/>
            </w:pPr>
            <w:r>
              <w:t xml:space="preserve">46/82</w:t>
            </w:r>
          </w:p>
        </w:tc>
        <w:tc>
          <w:tcPr/>
          <w:p>
            <w:pPr>
              <w:pStyle w:val="Compact"/>
              <w:jc w:val="left"/>
            </w:pPr>
            <w:r>
              <w:t xml:space="preserve">0,561</w:t>
            </w:r>
          </w:p>
        </w:tc>
        <w:tc>
          <w:tcPr/>
          <w:p>
            <w:pPr>
              <w:pStyle w:val="Compact"/>
              <w:jc w:val="left"/>
            </w:pPr>
            <w:r>
              <w:t xml:space="preserve">+0,245</w:t>
            </w:r>
          </w:p>
        </w:tc>
        <w:tc>
          <w:tcPr/>
          <w:p>
            <w:pPr>
              <w:pStyle w:val="Compact"/>
              <w:jc w:val="left"/>
            </w:pPr>
            <w:r>
              <w:t xml:space="preserve">0,0495</w:t>
            </w:r>
          </w:p>
        </w:tc>
      </w:tr>
      <w:tr>
        <w:tc>
          <w:tcPr/>
          <w:p>
            <w:pPr>
              <w:pStyle w:val="Compact"/>
              <w:jc w:val="left"/>
            </w:pPr>
            <w:r>
              <w:t xml:space="preserve">Usta 2019</w:t>
            </w:r>
          </w:p>
        </w:tc>
        <w:tc>
          <w:tcPr/>
          <w:p>
            <w:pPr>
              <w:pStyle w:val="Compact"/>
              <w:jc w:val="left"/>
            </w:pPr>
            <w:r>
              <w:t xml:space="preserve">57/105</w:t>
            </w:r>
          </w:p>
        </w:tc>
        <w:tc>
          <w:tcPr/>
          <w:p>
            <w:pPr>
              <w:pStyle w:val="Compact"/>
              <w:jc w:val="left"/>
            </w:pPr>
            <w:r>
              <w:t xml:space="preserve">0,543</w:t>
            </w:r>
          </w:p>
        </w:tc>
        <w:tc>
          <w:tcPr/>
          <w:p>
            <w:pPr>
              <w:pStyle w:val="Compact"/>
              <w:jc w:val="left"/>
            </w:pPr>
            <w:r>
              <w:t xml:space="preserve">+0,172</w:t>
            </w:r>
          </w:p>
        </w:tc>
        <w:tc>
          <w:tcPr/>
          <w:p>
            <w:pPr>
              <w:pStyle w:val="Compact"/>
              <w:jc w:val="left"/>
            </w:pPr>
            <w:r>
              <w:t xml:space="preserve">0,0384</w:t>
            </w:r>
          </w:p>
        </w:tc>
      </w:tr>
      <w:tr>
        <w:tc>
          <w:tcPr/>
          <w:p>
            <w:pPr>
              <w:pStyle w:val="Compact"/>
              <w:jc w:val="left"/>
            </w:pPr>
            <w:r>
              <w:t xml:space="preserve">Mohd Fikri Rosely 2022</w:t>
            </w:r>
          </w:p>
        </w:tc>
        <w:tc>
          <w:tcPr/>
          <w:p>
            <w:pPr>
              <w:pStyle w:val="Compact"/>
              <w:jc w:val="left"/>
            </w:pPr>
            <w:r>
              <w:t xml:space="preserve">38/196</w:t>
            </w:r>
          </w:p>
        </w:tc>
        <w:tc>
          <w:tcPr/>
          <w:p>
            <w:pPr>
              <w:pStyle w:val="Compact"/>
              <w:jc w:val="left"/>
            </w:pPr>
            <w:r>
              <w:t xml:space="preserve">0,194</w:t>
            </w:r>
          </w:p>
        </w:tc>
        <w:tc>
          <w:tcPr/>
          <w:p>
            <w:pPr>
              <w:pStyle w:val="Compact"/>
              <w:jc w:val="left"/>
            </w:pPr>
            <w:r>
              <w:t xml:space="preserve">−1,425</w:t>
            </w:r>
          </w:p>
        </w:tc>
        <w:tc>
          <w:tcPr/>
          <w:p>
            <w:pPr>
              <w:pStyle w:val="Compact"/>
              <w:jc w:val="left"/>
            </w:pPr>
            <w:r>
              <w:t xml:space="preserve">0,0326</w:t>
            </w:r>
          </w:p>
        </w:tc>
      </w:tr>
      <w:tr>
        <w:tc>
          <w:tcPr/>
          <w:p>
            <w:pPr>
              <w:pStyle w:val="Compact"/>
              <w:jc w:val="left"/>
            </w:pPr>
            <w:r>
              <w:t xml:space="preserve">Mohd Fikri Rosely 2019</w:t>
            </w:r>
          </w:p>
        </w:tc>
        <w:tc>
          <w:tcPr/>
          <w:p>
            <w:pPr>
              <w:pStyle w:val="Compact"/>
              <w:jc w:val="left"/>
            </w:pPr>
            <w:r>
              <w:t xml:space="preserve">28/137</w:t>
            </w:r>
          </w:p>
        </w:tc>
        <w:tc>
          <w:tcPr/>
          <w:p>
            <w:pPr>
              <w:pStyle w:val="Compact"/>
              <w:jc w:val="left"/>
            </w:pPr>
            <w:r>
              <w:t xml:space="preserve">0,204</w:t>
            </w:r>
          </w:p>
        </w:tc>
        <w:tc>
          <w:tcPr/>
          <w:p>
            <w:pPr>
              <w:pStyle w:val="Compact"/>
              <w:jc w:val="left"/>
            </w:pPr>
            <w:r>
              <w:t xml:space="preserve">−1,359</w:t>
            </w:r>
          </w:p>
        </w:tc>
        <w:tc>
          <w:tcPr/>
          <w:p>
            <w:pPr>
              <w:pStyle w:val="Compact"/>
              <w:jc w:val="left"/>
            </w:pPr>
            <w:r>
              <w:t xml:space="preserve">0,0449</w:t>
            </w:r>
          </w:p>
        </w:tc>
      </w:tr>
      <w:tr>
        <w:tc>
          <w:tcPr/>
          <w:p>
            <w:pPr>
              <w:pStyle w:val="Compact"/>
              <w:jc w:val="left"/>
            </w:pPr>
            <w:r>
              <w:t xml:space="preserve">Bieniek 2022</w:t>
            </w:r>
          </w:p>
        </w:tc>
        <w:tc>
          <w:tcPr/>
          <w:p>
            <w:pPr>
              <w:pStyle w:val="Compact"/>
              <w:jc w:val="left"/>
            </w:pPr>
            <w:r>
              <w:t xml:space="preserve">67/155</w:t>
            </w:r>
          </w:p>
        </w:tc>
        <w:tc>
          <w:tcPr/>
          <w:p>
            <w:pPr>
              <w:pStyle w:val="Compact"/>
              <w:jc w:val="left"/>
            </w:pPr>
            <w:r>
              <w:t xml:space="preserve">0,432</w:t>
            </w:r>
          </w:p>
        </w:tc>
        <w:tc>
          <w:tcPr/>
          <w:p>
            <w:pPr>
              <w:pStyle w:val="Compact"/>
              <w:jc w:val="left"/>
            </w:pPr>
            <w:r>
              <w:t xml:space="preserve">−0,273</w:t>
            </w:r>
          </w:p>
        </w:tc>
        <w:tc>
          <w:tcPr/>
          <w:p>
            <w:pPr>
              <w:pStyle w:val="Compact"/>
              <w:jc w:val="left"/>
            </w:pPr>
            <w:r>
              <w:t xml:space="preserve">0,0263</w:t>
            </w:r>
          </w:p>
        </w:tc>
      </w:tr>
    </w:tbl>
    <w:p>
      <w:pPr>
        <w:pStyle w:val="BodyText"/>
      </w:pPr>
      <w:r>
        <w:rPr>
          <w:bCs/>
          <w:b/>
        </w:rPr>
        <w:t xml:space="preserve">Por que transformar [deste trabalho, Anexo I, e conhecimento geral].</w:t>
      </w:r>
      <w:r>
        <w:t xml:space="preserve"> </w:t>
      </w:r>
      <w:r>
        <w:t xml:space="preserve">Três razões, nesta ordem de importância:</w:t>
      </w:r>
    </w:p>
    <w:p>
      <w:pPr>
        <w:numPr>
          <w:ilvl w:val="0"/>
          <w:numId w:val="1009"/>
        </w:numPr>
        <w:pStyle w:val="Compact"/>
      </w:pPr>
      <w:r>
        <w:t xml:space="preserve">A proporção vive entre 0 e 1. Se você fizer uma média ponderada e um IC direto na escala da proporção, o IC pode cair abaixo de 0% ou acima de 100%. Na escala logito (de −∞ a +∞) isso não acontece, e ao voltar para a escala original tudo fica automaticamente entre 0 e 100%.</w:t>
      </w:r>
    </w:p>
    <w:p>
      <w:pPr>
        <w:numPr>
          <w:ilvl w:val="0"/>
          <w:numId w:val="1009"/>
        </w:numPr>
        <w:pStyle w:val="Compact"/>
      </w:pPr>
      <w:r>
        <w:t xml:space="preserve">A distribuição amostral da proporção é assimétrica perto dos extremos; a do logito é mais próxima da normal, que é o que o modelo de metanálise assume.</w:t>
      </w:r>
    </w:p>
    <w:p>
      <w:pPr>
        <w:numPr>
          <w:ilvl w:val="0"/>
          <w:numId w:val="1009"/>
        </w:numPr>
        <w:pStyle w:val="Compact"/>
      </w:pPr>
      <w:r>
        <w:t xml:space="preserve">A assimetria do IC final na escala percentual (que você vai ver em 6.5) é um efeito desejável, não um defeito.</w:t>
      </w:r>
    </w:p>
    <w:p>
      <w:pPr>
        <w:pStyle w:val="FirstParagraph"/>
      </w:pPr>
      <w:r>
        <w:rPr>
          <w:bCs/>
          <w:b/>
        </w:rPr>
        <w:t xml:space="preserve">Por que não precisou de correção de continuidade [deste trabalho].</w:t>
      </w:r>
      <w:r>
        <w:t xml:space="preserve"> </w:t>
      </w:r>
      <w:r>
        <w:t xml:space="preserve">Se um estudo tem e = 0 ou e = n, o logito vale ±∞ e a variância vale ∞ (divisão por zero). A solução padrão é somar 0,5 a cada célula, mas isso enviesa um pouco. O manuscrito diz, nos Métodos:</w:t>
      </w:r>
      <w:r>
        <w:t xml:space="preserve"> </w:t>
      </w:r>
      <w:r>
        <w:t xml:space="preserve">“</w:t>
      </w:r>
      <w:r>
        <w:t xml:space="preserve">como não havia proporções iguais a 0% ou 100%, não se aplicou correção de continuidade</w:t>
      </w:r>
      <w:r>
        <w:t xml:space="preserve">”</w:t>
      </w:r>
      <w:r>
        <w:t xml:space="preserve">. De fato, a menor prevalência do Anexo D é 19,4% (38/196) e a maior é 57,3% (385/672). Ponto para você: a decisão está justificada pelo próprio dado.</w:t>
      </w:r>
    </w:p>
    <w:bookmarkEnd w:id="67"/>
    <w:bookmarkStart w:id="68" w:name="Xfb0ce973b00e7d72020ac56f576a4055e2169c7"/>
    <w:p>
      <w:pPr>
        <w:pStyle w:val="Heading3"/>
      </w:pPr>
      <w:r>
        <w:t xml:space="preserve">6.3 Efeitos fixos versus efeitos aleatórios: a pergunta</w:t>
      </w:r>
      <w:r>
        <w:t xml:space="preserve"> </w:t>
      </w:r>
      <w:r>
        <w:t xml:space="preserve">“</w:t>
      </w:r>
      <w:r>
        <w:t xml:space="preserve">existe uma prevalência verdadeira ou várias?</w:t>
      </w:r>
      <w:r>
        <w:t xml:space="preserve">”</w:t>
      </w:r>
    </w:p>
    <w:p>
      <w:pPr>
        <w:pStyle w:val="FirstParagraph"/>
      </w:pPr>
      <w:r>
        <w:rPr>
          <w:bCs/>
          <w:b/>
        </w:rPr>
        <w:t xml:space="preserve">Intuição [conhecimento geral].</w:t>
      </w:r>
    </w:p>
    <w:p>
      <w:pPr>
        <w:numPr>
          <w:ilvl w:val="0"/>
          <w:numId w:val="1010"/>
        </w:numPr>
        <w:pStyle w:val="Compact"/>
      </w:pPr>
      <w:r>
        <w:rPr>
          <w:iCs/>
          <w:i/>
        </w:rPr>
        <w:t xml:space="preserve">Efeito fixo</w:t>
      </w:r>
      <w:r>
        <w:t xml:space="preserve">: existe uma única prevalência verdadeira; todos os estudos a estimam, e só diferem por erro amostral. É como se as seis amostras tivessem saído do mesmo hospital.</w:t>
      </w:r>
    </w:p>
    <w:p>
      <w:pPr>
        <w:numPr>
          <w:ilvl w:val="0"/>
          <w:numId w:val="1010"/>
        </w:numPr>
        <w:pStyle w:val="Compact"/>
      </w:pPr>
      <w:r>
        <w:rPr>
          <w:iCs/>
          <w:i/>
        </w:rPr>
        <w:t xml:space="preserve">Efeitos aleatórios</w:t>
      </w:r>
      <w:r>
        <w:t xml:space="preserve">: cada estudo tem a sua própria prevalência verdadeira (Turquia não é Malásia;</w:t>
      </w:r>
      <w:r>
        <w:t xml:space="preserve"> </w:t>
      </w:r>
      <w:r>
        <w:t xml:space="preserve">“</w:t>
      </w:r>
      <w:r>
        <w:t xml:space="preserve">lacrimejamento</w:t>
      </w:r>
      <w:r>
        <w:t xml:space="preserve">”</w:t>
      </w:r>
      <w:r>
        <w:t xml:space="preserve"> </w:t>
      </w:r>
      <w:r>
        <w:t xml:space="preserve">não é</w:t>
      </w:r>
      <w:r>
        <w:t xml:space="preserve"> </w:t>
      </w:r>
      <w:r>
        <w:t xml:space="preserve">“</w:t>
      </w:r>
      <w:r>
        <w:t xml:space="preserve">irritação ocular</w:t>
      </w:r>
      <w:r>
        <w:t xml:space="preserve">”</w:t>
      </w:r>
      <w:r>
        <w:t xml:space="preserve">); essas prevalências verdadeiras se distribuem em torno de uma média, com uma variância entre estudos chamada</w:t>
      </w:r>
      <w:r>
        <w:t xml:space="preserve"> </w:t>
      </w:r>
      <w:r>
        <w:rPr>
          <w:bCs/>
          <w:b/>
        </w:rPr>
        <w:t xml:space="preserve">tau²</w:t>
      </w:r>
      <w:r>
        <w:t xml:space="preserve">. O modelo estima a média dessa distribuição.</w:t>
      </w:r>
    </w:p>
    <w:p>
      <w:pPr>
        <w:pStyle w:val="FirstParagraph"/>
      </w:pPr>
      <w:r>
        <w:t xml:space="preserve">O seu dado grita efeitos aleatórios: três estudos turcos em 41–56% e dois malaios em 19–20%. O teste de homogeneidade (Q, seção 6.6) rejeita a hipótese de uma única prevalência com p &lt; 0,001</w:t>
      </w:r>
      <w:r>
        <w:t xml:space="preserve"> </w:t>
      </w:r>
      <w:r>
        <w:rPr>
          <w:bCs/>
          <w:b/>
        </w:rPr>
        <w:t xml:space="preserve">[deste trabalho, Anexo G]</w:t>
      </w:r>
      <w:r>
        <w:t xml:space="preserve">. Por isso os Métodos dizem:</w:t>
      </w:r>
      <w:r>
        <w:t xml:space="preserve"> </w:t>
      </w:r>
      <w:r>
        <w:t xml:space="preserve">“</w:t>
      </w:r>
      <w:r>
        <w:t xml:space="preserve">modelo de efeitos aleatórios, que assume que o efeito verdadeiro varia entre estudos</w:t>
      </w:r>
      <w:r>
        <w:t xml:space="preserve">”</w:t>
      </w:r>
      <w:r>
        <w:t xml:space="preserve">.</w:t>
      </w:r>
    </w:p>
    <w:p>
      <w:pPr>
        <w:pStyle w:val="BodyText"/>
      </w:pPr>
      <w:r>
        <w:rPr>
          <w:bCs/>
          <w:b/>
        </w:rPr>
        <w:t xml:space="preserve">As fórmulas dos pesos [conhecimento geral].</w:t>
      </w:r>
    </w:p>
    <w:p>
      <w:pPr>
        <w:pStyle w:val="SourceCode"/>
      </w:pPr>
      <w:r>
        <w:rPr>
          <w:rStyle w:val="VerbatimChar"/>
        </w:rPr>
        <w:t xml:space="preserve">Efeito fixo:          w_i = 1 / v_i</w:t>
      </w:r>
      <w:r>
        <w:br/>
      </w:r>
      <w:r>
        <w:rPr>
          <w:rStyle w:val="VerbatimChar"/>
        </w:rPr>
        <w:t xml:space="preserve">Efeitos aleatórios:   w_i* = 1 / (v_i + tau²)</w:t>
      </w:r>
      <w:r>
        <w:br/>
      </w:r>
      <w:r>
        <w:rPr>
          <w:rStyle w:val="VerbatimChar"/>
        </w:rPr>
        <w:t xml:space="preserve">Estimativa combinada: média ponderada = Σ(w_i* · y_i) / Σ w_i*</w:t>
      </w:r>
    </w:p>
    <w:p>
      <w:pPr>
        <w:pStyle w:val="FirstParagraph"/>
      </w:pPr>
      <w:r>
        <w:rPr>
          <w:bCs/>
          <w:b/>
        </w:rPr>
        <w:t xml:space="preserve">O que é tau² [deste trabalho + conhecimento geral].</w:t>
      </w:r>
      <w:r>
        <w:t xml:space="preserve"> </w:t>
      </w:r>
      <w:r>
        <w:t xml:space="preserve">É a variância das prevalências verdadeiras entre estudos, medida na escala logito. Os valores do Anexo G são:</w:t>
      </w:r>
    </w:p>
    <w:p>
      <w:pPr>
        <w:numPr>
          <w:ilvl w:val="0"/>
          <w:numId w:val="1011"/>
        </w:numPr>
        <w:pStyle w:val="Compact"/>
      </w:pPr>
      <w:r>
        <w:t xml:space="preserve">Sintoma ocular:</w:t>
      </w:r>
      <w:r>
        <w:t xml:space="preserve"> </w:t>
      </w:r>
      <w:r>
        <w:rPr>
          <w:bCs/>
          <w:b/>
        </w:rPr>
        <w:t xml:space="preserve">tau² = 0,493</w:t>
      </w:r>
      <w:r>
        <w:t xml:space="preserve"> </w:t>
      </w:r>
      <w:r>
        <w:t xml:space="preserve">(tau = √0,493 = 0,70)</w:t>
      </w:r>
    </w:p>
    <w:p>
      <w:pPr>
        <w:numPr>
          <w:ilvl w:val="0"/>
          <w:numId w:val="1011"/>
        </w:numPr>
        <w:pStyle w:val="Compact"/>
      </w:pPr>
      <w:r>
        <w:t xml:space="preserve">Sintoma respiratório:</w:t>
      </w:r>
      <w:r>
        <w:t xml:space="preserve"> </w:t>
      </w:r>
      <w:r>
        <w:rPr>
          <w:bCs/>
          <w:b/>
        </w:rPr>
        <w:t xml:space="preserve">tau² = 0,249</w:t>
      </w:r>
      <w:r>
        <w:t xml:space="preserve"> </w:t>
      </w:r>
      <w:r>
        <w:t xml:space="preserve">(tau = 0,50)</w:t>
      </w:r>
    </w:p>
    <w:p>
      <w:pPr>
        <w:pStyle w:val="FirstParagraph"/>
      </w:pPr>
      <w:r>
        <w:t xml:space="preserve">Leitura intuitiva [conta minha]: tau = 0,70 significa que uma prevalência</w:t>
      </w:r>
      <w:r>
        <w:t xml:space="preserve"> </w:t>
      </w:r>
      <w:r>
        <w:t xml:space="preserve">“</w:t>
      </w:r>
      <w:r>
        <w:t xml:space="preserve">típica</w:t>
      </w:r>
      <w:r>
        <w:t xml:space="preserve">”</w:t>
      </w:r>
      <w:r>
        <w:t xml:space="preserve"> </w:t>
      </w:r>
      <w:r>
        <w:t xml:space="preserve">de um novo contexto se afasta ±0,70 logito da média (−0,50). Isso vai de −1,21 a +0,20 logito, ou seja, de cerca de 23% a 55% em escala percentual, para apenas um desvio-padrão. É muita dispersão real, e é ela que vai inflar o intervalo de predição.</w:t>
      </w:r>
    </w:p>
    <w:p>
      <w:pPr>
        <w:pStyle w:val="BodyText"/>
      </w:pPr>
      <w:r>
        <w:rPr>
          <w:bCs/>
          <w:b/>
        </w:rPr>
        <w:t xml:space="preserve">O efeito de tau² sobre os pesos [conta minha, a partir do Anexo D].</w:t>
      </w:r>
      <w:r>
        <w:t xml:space="preserve"> </w:t>
      </w:r>
      <w:r>
        <w:t xml:space="preserve">Veja como os pesos mudam para o ocular: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Estudo</w:t>
            </w:r>
          </w:p>
        </w:tc>
        <w:tc>
          <w:tcPr/>
          <w:p>
            <w:pPr>
              <w:pStyle w:val="Compact"/>
              <w:jc w:val="left"/>
            </w:pPr>
            <w:r>
              <w:t xml:space="preserve">v_i</w:t>
            </w:r>
          </w:p>
        </w:tc>
        <w:tc>
          <w:tcPr/>
          <w:p>
            <w:pPr>
              <w:pStyle w:val="Compact"/>
              <w:jc w:val="left"/>
            </w:pPr>
            <w:r>
              <w:t xml:space="preserve">Peso fixo 1/v_i (participação)</w:t>
            </w:r>
          </w:p>
        </w:tc>
        <w:tc>
          <w:tcPr/>
          <w:p>
            <w:pPr>
              <w:pStyle w:val="Compact"/>
              <w:jc w:val="left"/>
            </w:pPr>
            <w:r>
              <w:t xml:space="preserve">Peso aleatório 1/(v_i + 0,493) (participação)</w:t>
            </w:r>
          </w:p>
        </w:tc>
      </w:tr>
      <w:tr>
        <w:tc>
          <w:tcPr/>
          <w:p>
            <w:pPr>
              <w:pStyle w:val="Compact"/>
              <w:jc w:val="left"/>
            </w:pPr>
            <w:r>
              <w:t xml:space="preserve">İlçe 2017</w:t>
            </w:r>
          </w:p>
        </w:tc>
        <w:tc>
          <w:tcPr/>
          <w:p>
            <w:pPr>
              <w:pStyle w:val="Compact"/>
              <w:jc w:val="left"/>
            </w:pPr>
            <w:r>
              <w:t xml:space="preserve">0,0511</w:t>
            </w:r>
          </w:p>
        </w:tc>
        <w:tc>
          <w:tcPr/>
          <w:p>
            <w:pPr>
              <w:pStyle w:val="Compact"/>
              <w:jc w:val="left"/>
            </w:pPr>
            <w:r>
              <w:t xml:space="preserve">19,6 (12,5%)</w:t>
            </w:r>
          </w:p>
        </w:tc>
        <w:tc>
          <w:tcPr/>
          <w:p>
            <w:pPr>
              <w:pStyle w:val="Compact"/>
              <w:jc w:val="left"/>
            </w:pPr>
            <w:r>
              <w:t xml:space="preserve">1/(0,0511 + 0,493) = 1/0,544 = 1,84 (16,3%)</w:t>
            </w:r>
          </w:p>
        </w:tc>
      </w:tr>
      <w:tr>
        <w:tc>
          <w:tcPr/>
          <w:p>
            <w:pPr>
              <w:pStyle w:val="Compact"/>
              <w:jc w:val="left"/>
            </w:pPr>
            <w:r>
              <w:t xml:space="preserve">Cinar 2022</w:t>
            </w:r>
          </w:p>
        </w:tc>
        <w:tc>
          <w:tcPr/>
          <w:p>
            <w:pPr>
              <w:pStyle w:val="Compact"/>
              <w:jc w:val="left"/>
            </w:pPr>
            <w:r>
              <w:t xml:space="preserve">0,0495</w:t>
            </w:r>
          </w:p>
        </w:tc>
        <w:tc>
          <w:tcPr/>
          <w:p>
            <w:pPr>
              <w:pStyle w:val="Compact"/>
              <w:jc w:val="left"/>
            </w:pPr>
            <w:r>
              <w:t xml:space="preserve">20,2 (12,9%)</w:t>
            </w:r>
          </w:p>
        </w:tc>
        <w:tc>
          <w:tcPr/>
          <w:p>
            <w:pPr>
              <w:pStyle w:val="Compact"/>
              <w:jc w:val="left"/>
            </w:pPr>
            <w:r>
              <w:t xml:space="preserve">1,84 (16,4%)</w:t>
            </w:r>
          </w:p>
        </w:tc>
      </w:tr>
      <w:tr>
        <w:tc>
          <w:tcPr/>
          <w:p>
            <w:pPr>
              <w:pStyle w:val="Compact"/>
              <w:jc w:val="left"/>
            </w:pPr>
            <w:r>
              <w:t xml:space="preserve">Usta 2019</w:t>
            </w:r>
          </w:p>
        </w:tc>
        <w:tc>
          <w:tcPr/>
          <w:p>
            <w:pPr>
              <w:pStyle w:val="Compact"/>
              <w:jc w:val="left"/>
            </w:pPr>
            <w:r>
              <w:t xml:space="preserve">0,0384</w:t>
            </w:r>
          </w:p>
        </w:tc>
        <w:tc>
          <w:tcPr/>
          <w:p>
            <w:pPr>
              <w:pStyle w:val="Compact"/>
              <w:jc w:val="left"/>
            </w:pPr>
            <w:r>
              <w:t xml:space="preserve">26,1 (16,6%)</w:t>
            </w:r>
          </w:p>
        </w:tc>
        <w:tc>
          <w:tcPr/>
          <w:p>
            <w:pPr>
              <w:pStyle w:val="Compact"/>
              <w:jc w:val="left"/>
            </w:pPr>
            <w:r>
              <w:t xml:space="preserve">1,88 (16,7%)</w:t>
            </w:r>
          </w:p>
        </w:tc>
      </w:tr>
      <w:tr>
        <w:tc>
          <w:tcPr/>
          <w:p>
            <w:pPr>
              <w:pStyle w:val="Compact"/>
              <w:jc w:val="left"/>
            </w:pPr>
            <w:r>
              <w:t xml:space="preserve">Mohd Fikri Rosely 2022</w:t>
            </w:r>
          </w:p>
        </w:tc>
        <w:tc>
          <w:tcPr/>
          <w:p>
            <w:pPr>
              <w:pStyle w:val="Compact"/>
              <w:jc w:val="left"/>
            </w:pPr>
            <w:r>
              <w:t xml:space="preserve">0,0326</w:t>
            </w:r>
          </w:p>
        </w:tc>
        <w:tc>
          <w:tcPr/>
          <w:p>
            <w:pPr>
              <w:pStyle w:val="Compact"/>
              <w:jc w:val="left"/>
            </w:pPr>
            <w:r>
              <w:t xml:space="preserve">30,6 (19,5%)</w:t>
            </w:r>
          </w:p>
        </w:tc>
        <w:tc>
          <w:tcPr/>
          <w:p>
            <w:pPr>
              <w:pStyle w:val="Compact"/>
              <w:jc w:val="left"/>
            </w:pPr>
            <w:r>
              <w:t xml:space="preserve">1,90 (16,9%)</w:t>
            </w:r>
          </w:p>
        </w:tc>
      </w:tr>
      <w:tr>
        <w:tc>
          <w:tcPr/>
          <w:p>
            <w:pPr>
              <w:pStyle w:val="Compact"/>
              <w:jc w:val="left"/>
            </w:pPr>
            <w:r>
              <w:t xml:space="preserve">Mohd Fikri Rosely 2019</w:t>
            </w:r>
          </w:p>
        </w:tc>
        <w:tc>
          <w:tcPr/>
          <w:p>
            <w:pPr>
              <w:pStyle w:val="Compact"/>
              <w:jc w:val="left"/>
            </w:pPr>
            <w:r>
              <w:t xml:space="preserve">0,0449</w:t>
            </w:r>
          </w:p>
        </w:tc>
        <w:tc>
          <w:tcPr/>
          <w:p>
            <w:pPr>
              <w:pStyle w:val="Compact"/>
              <w:jc w:val="left"/>
            </w:pPr>
            <w:r>
              <w:t xml:space="preserve">22,3 (14,2%)</w:t>
            </w:r>
          </w:p>
        </w:tc>
        <w:tc>
          <w:tcPr/>
          <w:p>
            <w:pPr>
              <w:pStyle w:val="Compact"/>
              <w:jc w:val="left"/>
            </w:pPr>
            <w:r>
              <w:t xml:space="preserve">1,86 (16,5%)</w:t>
            </w:r>
          </w:p>
        </w:tc>
      </w:tr>
      <w:tr>
        <w:tc>
          <w:tcPr/>
          <w:p>
            <w:pPr>
              <w:pStyle w:val="Compact"/>
              <w:jc w:val="left"/>
            </w:pPr>
            <w:r>
              <w:t xml:space="preserve">Bieniek 2022</w:t>
            </w:r>
          </w:p>
        </w:tc>
        <w:tc>
          <w:tcPr/>
          <w:p>
            <w:pPr>
              <w:pStyle w:val="Compact"/>
              <w:jc w:val="left"/>
            </w:pPr>
            <w:r>
              <w:t xml:space="preserve">0,0263</w:t>
            </w:r>
          </w:p>
        </w:tc>
        <w:tc>
          <w:tcPr/>
          <w:p>
            <w:pPr>
              <w:pStyle w:val="Compact"/>
              <w:jc w:val="left"/>
            </w:pPr>
            <w:r>
              <w:t xml:space="preserve">38,0 (24,3%)</w:t>
            </w:r>
          </w:p>
        </w:tc>
        <w:tc>
          <w:tcPr/>
          <w:p>
            <w:pPr>
              <w:pStyle w:val="Compact"/>
              <w:jc w:val="left"/>
            </w:pPr>
            <w:r>
              <w:t xml:space="preserve">1,93 (17,1%)</w:t>
            </w:r>
          </w:p>
        </w:tc>
      </w:tr>
    </w:tbl>
    <w:p>
      <w:pPr>
        <w:pStyle w:val="BodyText"/>
      </w:pPr>
      <w:r>
        <w:t xml:space="preserve">Como tau² (0,493) é dez a vinte vezes maior do que qualquer v_i (0,026 a 0,051), ele domina o denominador e os pesos ficam quase iguais: o modelo de efeitos aleatórios vira, na prática,</w:t>
      </w:r>
      <w:r>
        <w:t xml:space="preserve"> </w:t>
      </w:r>
      <w:r>
        <w:t xml:space="preserve">“</w:t>
      </w:r>
      <w:r>
        <w:t xml:space="preserve">um estudo, um voto</w:t>
      </w:r>
      <w:r>
        <w:t xml:space="preserve">”</w:t>
      </w:r>
      <w:r>
        <w:t xml:space="preserve">. Isso é esperado com heterogeneidade alta e é uma das coisas que a banca pode perguntar (</w:t>
      </w:r>
      <w:r>
        <w:t xml:space="preserve">“</w:t>
      </w:r>
      <w:r>
        <w:t xml:space="preserve">por que o estudo maior não pesa mais?</w:t>
      </w:r>
      <w:r>
        <w:t xml:space="preserve">”</w:t>
      </w:r>
      <w:r>
        <w:t xml:space="preserve">). Resposta: porque, quando os estudos medem prevalências verdadeiramente diferentes, ter uma amostra maior não torna o seu contexto mais representativo dos outros contextos.</w:t>
      </w:r>
    </w:p>
    <w:p>
      <w:pPr>
        <w:pStyle w:val="BodyText"/>
      </w:pPr>
      <w:r>
        <w:t xml:space="preserve">O exemplo mais dramático está no respiratório [conta minha]: Van Giersbergen 2019 (385/672; v = 0,0061) teria 48% de todo o peso no modelo fixo e arrastaria a estimativa para 48,8%; no modelo de efeitos aleatórios ele fica com 15,9% e a estimativa é 41,7%</w:t>
      </w:r>
      <w:r>
        <w:t xml:space="preserve"> </w:t>
      </w:r>
      <w:r>
        <w:rPr>
          <w:bCs/>
          <w:b/>
        </w:rPr>
        <w:t xml:space="preserve">[deste trabalho]</w:t>
      </w:r>
      <w:r>
        <w:t xml:space="preserve">.</w:t>
      </w:r>
    </w:p>
    <w:p>
      <w:pPr>
        <w:pStyle w:val="BodyText"/>
      </w:pPr>
      <w:r>
        <w:rPr>
          <w:bCs/>
          <w:b/>
        </w:rPr>
        <w:t xml:space="preserve">A média ponderada [conta minha, a partir do Anexo D].</w:t>
      </w:r>
      <w:r>
        <w:t xml:space="preserve"> </w:t>
      </w:r>
      <w:r>
        <w:t xml:space="preserve">Para o ocular, Σ w_i* = 11,25 e Σ(w_i*·y_i) = −5,68. Logo, logito combinado = −5,68/11,25 =</w:t>
      </w:r>
      <w:r>
        <w:t xml:space="preserve"> </w:t>
      </w:r>
      <w:r>
        <w:rPr>
          <w:bCs/>
          <w:b/>
        </w:rPr>
        <w:t xml:space="preserve">−0,505</w:t>
      </w:r>
      <w:r>
        <w:t xml:space="preserve">. Guarde esse número: ele vira 37,6% na seção 6.5.</w:t>
      </w:r>
    </w:p>
    <w:p>
      <w:pPr>
        <w:pStyle w:val="BodyText"/>
      </w:pPr>
      <w:r>
        <w:rPr>
          <w:bCs/>
          <w:b/>
        </w:rPr>
        <w:t xml:space="preserve">Paule-Mandel em palavras [conhecimento geral; a escolha é deste trabalho].</w:t>
      </w:r>
      <w:r>
        <w:t xml:space="preserve"> </w:t>
      </w:r>
      <w:r>
        <w:t xml:space="preserve">Não existe fórmula fechada para tau² no método de Paule-Mandel; ele é iterativo. A regra é: escolha tau² de modo que a soma ponderada dos quadrados dos desvios, usando os pesos de efeitos aleatórios, seja exatamente igual ao seu valor esperado sob o modelo, que é k − 1:</w:t>
      </w:r>
    </w:p>
    <w:p>
      <w:pPr>
        <w:pStyle w:val="SourceCode"/>
      </w:pPr>
      <w:r>
        <w:rPr>
          <w:rStyle w:val="VerbatimChar"/>
        </w:rPr>
        <w:t xml:space="preserve">Σ w_i*(tau²) · (y_i − média)² = k − 1          (= 5 para o ocular, 6 para o respiratório)</w:t>
      </w:r>
    </w:p>
    <w:p>
      <w:pPr>
        <w:pStyle w:val="FirstParagraph"/>
      </w:pPr>
      <w:r>
        <w:t xml:space="preserve">O computador tenta um tau², calcula o lado esquerdo, compara com k − 1 e ajusta até bater. A alternativa clássica, DerSimonian-Laird (DL), tem fórmula fechada mas tende a subestimar tau² quando há poucos estudos e heterogeneidade alta, que é exatamente o seu cenário; a literatura metodológica recente (por exemplo, as recomendações derivadas de Veroniki et al., 2016, e o guia de Barker et al., 2021, que você cita) prefere Paule-Mandel ou REML. Frase pronta:</w:t>
      </w:r>
      <w:r>
        <w:t xml:space="preserve"> </w:t>
      </w:r>
      <w:r>
        <w:t xml:space="preserve">“</w:t>
      </w:r>
      <w:r>
        <w:t xml:space="preserve">Paule-Mandel é um estimador de momentos iterativo que não subestima a variância entre estudos como o DerSimonian-Laird faz com poucos estudos.</w:t>
      </w:r>
      <w:r>
        <w:t xml:space="preserve">”</w:t>
      </w:r>
    </w:p>
    <w:bookmarkEnd w:id="68"/>
    <w:bookmarkStart w:id="69" w:name="X7e8d36c2d72078e4cbb64ee07210744169b0788"/>
    <w:p>
      <w:pPr>
        <w:pStyle w:val="Heading3"/>
      </w:pPr>
      <w:r>
        <w:t xml:space="preserve">6.4 O ajuste de Hartung-Knapp-Sidik-Jonkman (HKSJ): o IC honesto com k pequeno</w:t>
      </w:r>
    </w:p>
    <w:p>
      <w:pPr>
        <w:pStyle w:val="FirstParagraph"/>
      </w:pPr>
      <w:r>
        <w:rPr>
          <w:bCs/>
          <w:b/>
        </w:rPr>
        <w:t xml:space="preserve">O IC padrão [conhecimento geral].</w:t>
      </w:r>
      <w:r>
        <w:t xml:space="preserve"> </w:t>
      </w:r>
      <w:r>
        <w:t xml:space="preserve">Depois de estimar a média ponderada, o IC</w:t>
      </w:r>
      <w:r>
        <w:t xml:space="preserve"> </w:t>
      </w:r>
      <w:r>
        <w:t xml:space="preserve">“</w:t>
      </w:r>
      <w:r>
        <w:t xml:space="preserve">clássico</w:t>
      </w:r>
      <w:r>
        <w:t xml:space="preserve">”</w:t>
      </w:r>
      <w:r>
        <w:t xml:space="preserve"> </w:t>
      </w:r>
      <w:r>
        <w:t xml:space="preserve">de efeitos aleatórios é:</w:t>
      </w:r>
    </w:p>
    <w:p>
      <w:pPr>
        <w:pStyle w:val="SourceCode"/>
      </w:pPr>
      <w:r>
        <w:rPr>
          <w:rStyle w:val="VerbatimChar"/>
        </w:rPr>
        <w:t xml:space="preserve">média ± 1,96 × EP,    com EP = √(1 / Σ w_i*)</w:t>
      </w:r>
    </w:p>
    <w:p>
      <w:pPr>
        <w:pStyle w:val="FirstParagraph"/>
      </w:pPr>
      <w:r>
        <w:t xml:space="preserve">Para o ocular [conta minha]: EP = √(1/11,25) = 0,298; IC clássico = −0,505 ± 0,584 = [−1,089; +0,080] →</w:t>
      </w:r>
      <w:r>
        <w:t xml:space="preserve"> </w:t>
      </w:r>
      <w:r>
        <w:rPr>
          <w:bCs/>
          <w:b/>
        </w:rPr>
        <w:t xml:space="preserve">25,2% a 52,0%</w:t>
      </w:r>
      <w:r>
        <w:t xml:space="preserve">.</w:t>
      </w:r>
    </w:p>
    <w:p>
      <w:pPr>
        <w:pStyle w:val="BodyText"/>
      </w:pPr>
      <w:r>
        <w:rPr>
          <w:bCs/>
          <w:b/>
        </w:rPr>
        <w:t xml:space="preserve">O que o HKSJ muda [conhecimento geral].</w:t>
      </w:r>
      <w:r>
        <w:t xml:space="preserve"> </w:t>
      </w:r>
      <w:r>
        <w:t xml:space="preserve">Duas coisas:</w:t>
      </w:r>
    </w:p>
    <w:p>
      <w:pPr>
        <w:numPr>
          <w:ilvl w:val="0"/>
          <w:numId w:val="1012"/>
        </w:numPr>
        <w:pStyle w:val="Compact"/>
      </w:pPr>
      <w:r>
        <w:t xml:space="preserve">Multiplica a variância por um fator q = Σ w_i*(y_i − média)²/(k − 1), que mede se a dispersão observada é maior ou menor do que o modelo previu.</w:t>
      </w:r>
    </w:p>
    <w:p>
      <w:pPr>
        <w:numPr>
          <w:ilvl w:val="0"/>
          <w:numId w:val="1012"/>
        </w:numPr>
        <w:pStyle w:val="Compact"/>
      </w:pPr>
      <w:r>
        <w:t xml:space="preserve">Troca o quantil z = 1,96 da normal pelo quantil t de Student com</w:t>
      </w:r>
      <w:r>
        <w:t xml:space="preserve"> </w:t>
      </w:r>
      <w:r>
        <w:rPr>
          <w:bCs/>
          <w:b/>
        </w:rPr>
        <w:t xml:space="preserve">k − 1 graus de liberdade</w:t>
      </w:r>
      <w:r>
        <w:t xml:space="preserve">, reconhecendo que tau² e o EP foram</w:t>
      </w:r>
      <w:r>
        <w:t xml:space="preserve"> </w:t>
      </w:r>
      <w:r>
        <w:rPr>
          <w:iCs/>
          <w:i/>
        </w:rPr>
        <w:t xml:space="preserve">estimados</w:t>
      </w:r>
      <w:r>
        <w:t xml:space="preserve"> </w:t>
      </w:r>
      <w:r>
        <w:t xml:space="preserve">a partir de poucos estudos, e não conhecidos.</w:t>
      </w:r>
    </w:p>
    <w:p>
      <w:pPr>
        <w:pStyle w:val="FirstParagraph"/>
      </w:pPr>
      <w:r>
        <w:rPr>
          <w:bCs/>
          <w:b/>
        </w:rPr>
        <w:t xml:space="preserve">Um detalhe que impressiona a banca [conhecimento geral, verificado nos seus dados].</w:t>
      </w:r>
      <w:r>
        <w:t xml:space="preserve"> </w:t>
      </w:r>
      <w:r>
        <w:t xml:space="preserve">Quando tau² vem do Paule-Mandel, o fator q é exatamente 1, porque o Paule-Mandel é definido justamente pela equação Σ w_i*(y_i − média)² = k − 1. Então, no seu trabalho, todo o efeito do HKSJ está na troca de 1,96 por t(k − 1):</w:t>
      </w:r>
    </w:p>
    <w:p>
      <w:pPr>
        <w:numPr>
          <w:ilvl w:val="0"/>
          <w:numId w:val="1013"/>
        </w:numPr>
        <w:pStyle w:val="Compact"/>
      </w:pPr>
      <w:r>
        <w:t xml:space="preserve">Ocular: k = 6 → t(5; 97,5%) =</w:t>
      </w:r>
      <w:r>
        <w:t xml:space="preserve"> </w:t>
      </w:r>
      <w:r>
        <w:rPr>
          <w:bCs/>
          <w:b/>
        </w:rPr>
        <w:t xml:space="preserve">2,571</w:t>
      </w:r>
    </w:p>
    <w:p>
      <w:pPr>
        <w:numPr>
          <w:ilvl w:val="0"/>
          <w:numId w:val="1013"/>
        </w:numPr>
        <w:pStyle w:val="Compact"/>
      </w:pPr>
      <w:r>
        <w:t xml:space="preserve">Respiratório: k = 7 → t(6; 97,5%) =</w:t>
      </w:r>
      <w:r>
        <w:t xml:space="preserve"> </w:t>
      </w:r>
      <w:r>
        <w:rPr>
          <w:bCs/>
          <w:b/>
        </w:rPr>
        <w:t xml:space="preserve">2,447</w:t>
      </w:r>
    </w:p>
    <w:p>
      <w:pPr>
        <w:pStyle w:val="FirstParagraph"/>
      </w:pPr>
      <w:r>
        <w:rPr>
          <w:bCs/>
          <w:b/>
        </w:rPr>
        <w:t xml:space="preserve">Conta para o ocular [conta minha, reproduz o manuscrito]:</w:t>
      </w:r>
    </w:p>
    <w:p>
      <w:pPr>
        <w:numPr>
          <w:ilvl w:val="0"/>
          <w:numId w:val="1014"/>
        </w:numPr>
        <w:pStyle w:val="Compact"/>
      </w:pPr>
      <w:r>
        <w:t xml:space="preserve">IC = −0,505 ± 2,571 × 0,298 = −0,505 ± 0,767 = [</w:t>
      </w:r>
      <w:r>
        <w:rPr>
          <w:bCs/>
          <w:b/>
        </w:rPr>
        <w:t xml:space="preserve">−1,271; +0,262</w:t>
      </w:r>
      <w:r>
        <w:t xml:space="preserve">]</w:t>
      </w:r>
    </w:p>
    <w:p>
      <w:pPr>
        <w:numPr>
          <w:ilvl w:val="0"/>
          <w:numId w:val="1014"/>
        </w:numPr>
        <w:pStyle w:val="Compact"/>
      </w:pPr>
      <w:r>
        <w:t xml:space="preserve">Retrotransformando (6.5):</w:t>
      </w:r>
      <w:r>
        <w:t xml:space="preserve"> </w:t>
      </w:r>
      <w:r>
        <w:rPr>
          <w:bCs/>
          <w:b/>
        </w:rPr>
        <w:t xml:space="preserve">21,9% a 56,5%</w:t>
      </w:r>
      <w:r>
        <w:t xml:space="preserve">, exatamente o IC95% do Resumo</w:t>
      </w:r>
      <w:r>
        <w:t xml:space="preserve"> </w:t>
      </w:r>
      <w:r>
        <w:rPr>
          <w:bCs/>
          <w:b/>
        </w:rPr>
        <w:t xml:space="preserve">[deste trabalho]</w:t>
      </w:r>
      <w:r>
        <w:t xml:space="preserve">.</w:t>
      </w:r>
    </w:p>
    <w:p>
      <w:pPr>
        <w:pStyle w:val="FirstParagraph"/>
      </w:pPr>
      <w:r>
        <w:t xml:space="preserve">Compare: o IC clássico ia de 25,2% a 52,0%; o HKSJ vai de 21,9% a 56,5%. O HKSJ alargou o intervalo em cerca de 3 a 4 pontos percentuais de cada lado. Isso não é</w:t>
      </w:r>
      <w:r>
        <w:t xml:space="preserve"> </w:t>
      </w:r>
      <w:r>
        <w:t xml:space="preserve">“</w:t>
      </w:r>
      <w:r>
        <w:t xml:space="preserve">piorar o resultado</w:t>
      </w:r>
      <w:r>
        <w:t xml:space="preserve">”</w:t>
      </w:r>
      <w:r>
        <w:t xml:space="preserve">: é parar de fingir uma precisão que seis estudos heterogêneos não têm.</w:t>
      </w:r>
    </w:p>
    <w:p>
      <w:pPr>
        <w:pStyle w:val="BodyText"/>
      </w:pPr>
      <w:r>
        <w:rPr>
          <w:bCs/>
          <w:b/>
        </w:rPr>
        <w:t xml:space="preserve">Por que usar [deste trabalho + conhecimento geral].</w:t>
      </w:r>
      <w:r>
        <w:t xml:space="preserve"> </w:t>
      </w:r>
      <w:r>
        <w:t xml:space="preserve">Os Métodos citam IntHout, Ioannidis e Borm (2014), que mostraram em simulação que o IC clássico de DerSimonian-Laird com z deixa de cobrir o valor verdadeiro em muito mais do que 5% das vezes quando há poucos estudos e heterogeneidade alta, enquanto o HKSJ mantém a taxa de erro perto dos 5% nominais, com qualquer k e qualquer tau². Barker et al. (2021) recomendam o mesmo para metanálise de proporção. Seu cenário (k = 6 e 7, I² &gt; 90%) é o caso de livro em que o HKSJ é obrigatório.</w:t>
      </w:r>
    </w:p>
    <w:p>
      <w:pPr>
        <w:pStyle w:val="BodyText"/>
      </w:pPr>
      <w:r>
        <w:rPr>
          <w:bCs/>
          <w:b/>
        </w:rPr>
        <w:t xml:space="preserve">Pergunta provável:</w:t>
      </w:r>
      <w:r>
        <w:t xml:space="preserve"> </w:t>
      </w:r>
      <w:r>
        <w:t xml:space="preserve">“</w:t>
      </w:r>
      <w:r>
        <w:t xml:space="preserve">O HKSJ não pode dar intervalo mais estreito que o clássico?</w:t>
      </w:r>
      <w:r>
        <w:t xml:space="preserve">”</w:t>
      </w:r>
      <w:r>
        <w:t xml:space="preserve"> </w:t>
      </w:r>
      <w:r>
        <w:t xml:space="preserve">Resposta: pode, quando q &lt; 1 (dispersão observada menor do que a esperada), e por isso alguns autores recomendam usar max(1, q). No seu caso é irrelevante: com Paule-Mandel, q = 1 e o HKSJ só alargou.</w:t>
      </w:r>
    </w:p>
    <w:bookmarkEnd w:id="69"/>
    <w:bookmarkStart w:id="70" w:name="X95e387b5328440860ab7ab9a187252f42749db4"/>
    <w:p>
      <w:pPr>
        <w:pStyle w:val="Heading3"/>
      </w:pPr>
      <w:r>
        <w:t xml:space="preserve">6.5 Retrotransformação: voltando para a escala de porcentagem</w:t>
      </w:r>
    </w:p>
    <w:p>
      <w:pPr>
        <w:pStyle w:val="FirstParagraph"/>
      </w:pPr>
      <w:r>
        <w:rPr>
          <w:bCs/>
          <w:b/>
        </w:rPr>
        <w:t xml:space="preserve">A fórmula [conhecimento geral].</w:t>
      </w:r>
      <w:r>
        <w:t xml:space="preserve"> </w:t>
      </w:r>
      <w:r>
        <w:t xml:space="preserve">A inversa do logito é a função logística:</w:t>
      </w:r>
    </w:p>
    <w:p>
      <w:pPr>
        <w:pStyle w:val="SourceCode"/>
      </w:pPr>
      <w:r>
        <w:rPr>
          <w:rStyle w:val="VerbatimChar"/>
        </w:rPr>
        <w:t xml:space="preserve">p = e^x / (1 + e^x)</w:t>
      </w:r>
    </w:p>
    <w:p>
      <w:pPr>
        <w:pStyle w:val="FirstParagraph"/>
      </w:pPr>
      <w:r>
        <w:rPr>
          <w:bCs/>
          <w:b/>
        </w:rPr>
        <w:t xml:space="preserve">Contas [conta minha, reproduz o manuscrito]:</w:t>
      </w:r>
    </w:p>
    <w:p>
      <w:pPr>
        <w:numPr>
          <w:ilvl w:val="0"/>
          <w:numId w:val="1015"/>
        </w:numPr>
        <w:pStyle w:val="Compact"/>
      </w:pPr>
      <w:r>
        <w:t xml:space="preserve">Estimativa: x = −0,505 → e^−0,505 = 0,604 → p = 0,604/1,604 =</w:t>
      </w:r>
      <w:r>
        <w:t xml:space="preserve"> </w:t>
      </w:r>
      <w:r>
        <w:rPr>
          <w:bCs/>
          <w:b/>
        </w:rPr>
        <w:t xml:space="preserve">0,376 → 37,6%</w:t>
      </w:r>
    </w:p>
    <w:p>
      <w:pPr>
        <w:numPr>
          <w:ilvl w:val="0"/>
          <w:numId w:val="1015"/>
        </w:numPr>
        <w:pStyle w:val="Compact"/>
      </w:pPr>
      <w:r>
        <w:t xml:space="preserve">Limite inferior: x = −1,271 → e^−1,271 = 0,281 → p = 0,281/1,281 =</w:t>
      </w:r>
      <w:r>
        <w:t xml:space="preserve"> </w:t>
      </w:r>
      <w:r>
        <w:rPr>
          <w:bCs/>
          <w:b/>
        </w:rPr>
        <w:t xml:space="preserve">0,219 → 21,9%</w:t>
      </w:r>
    </w:p>
    <w:p>
      <w:pPr>
        <w:numPr>
          <w:ilvl w:val="0"/>
          <w:numId w:val="1015"/>
        </w:numPr>
        <w:pStyle w:val="Compact"/>
      </w:pPr>
      <w:r>
        <w:t xml:space="preserve">Limite superior: x = +0,262 → e^0,262 = 1,300 → p = 1,300/2,300 =</w:t>
      </w:r>
      <w:r>
        <w:t xml:space="preserve"> </w:t>
      </w:r>
      <w:r>
        <w:rPr>
          <w:bCs/>
          <w:b/>
        </w:rPr>
        <w:t xml:space="preserve">0,565 → 56,5%</w:t>
      </w:r>
    </w:p>
    <w:p>
      <w:pPr>
        <w:pStyle w:val="FirstParagraph"/>
      </w:pPr>
      <w:r>
        <w:t xml:space="preserve">Repare na assimetria: 37,6 − 21,9 = 15,7 pontos para baixo e 56,5 − 37,6 = 18,9 pontos para cima. O intervalo era simétrico na escala logito e ficou assimétrico na escala percentual. Isso é consequência direta da transformação e é correto: o losango vermelho das Figuras 2 e 3 é mais</w:t>
      </w:r>
      <w:r>
        <w:t xml:space="preserve"> </w:t>
      </w:r>
      <w:r>
        <w:t xml:space="preserve">“</w:t>
      </w:r>
      <w:r>
        <w:t xml:space="preserve">esticado</w:t>
      </w:r>
      <w:r>
        <w:t xml:space="preserve">”</w:t>
      </w:r>
      <w:r>
        <w:t xml:space="preserve"> </w:t>
      </w:r>
      <w:r>
        <w:t xml:space="preserve">para a direita.</w:t>
      </w:r>
    </w:p>
    <w:p>
      <w:pPr>
        <w:pStyle w:val="BodyText"/>
      </w:pPr>
      <w:r>
        <w:t xml:space="preserve">Mesmo caminho para o respiratório [conta minha]: logito combinado −0,337, EP = 0,201, t(6) = 2,447, IC logito [−0,829; +0,156] →</w:t>
      </w:r>
      <w:r>
        <w:t xml:space="preserve"> </w:t>
      </w:r>
      <w:r>
        <w:rPr>
          <w:bCs/>
          <w:b/>
        </w:rPr>
        <w:t xml:space="preserve">41,7% (30,4% a 53,9%)</w:t>
      </w:r>
      <w:r>
        <w:t xml:space="preserve"> </w:t>
      </w:r>
      <w:r>
        <w:rPr>
          <w:bCs/>
          <w:b/>
        </w:rPr>
        <w:t xml:space="preserve">[deste trabalho]</w:t>
      </w:r>
      <w:r>
        <w:t xml:space="preserve">.</w:t>
      </w:r>
    </w:p>
    <w:bookmarkEnd w:id="70"/>
    <w:bookmarkStart w:id="71" w:name="heterogeneidade-q-de-cochran-e-i²"/>
    <w:p>
      <w:pPr>
        <w:pStyle w:val="Heading3"/>
      </w:pPr>
      <w:r>
        <w:t xml:space="preserve">6.6 Heterogeneidade: Q de Cochran e I²</w:t>
      </w:r>
    </w:p>
    <w:p>
      <w:pPr>
        <w:pStyle w:val="FirstParagraph"/>
      </w:pPr>
      <w:r>
        <w:rPr>
          <w:bCs/>
          <w:b/>
        </w:rPr>
        <w:t xml:space="preserve">Q de Cochran [conhecimento geral].</w:t>
      </w:r>
      <w:r>
        <w:t xml:space="preserve"> </w:t>
      </w:r>
      <w:r>
        <w:t xml:space="preserve">Q mede o quanto os estudos se afastam da média de efeito fixo, ponderando pelos pesos de efeito fixo:</w:t>
      </w:r>
    </w:p>
    <w:p>
      <w:pPr>
        <w:pStyle w:val="SourceCode"/>
      </w:pPr>
      <w:r>
        <w:rPr>
          <w:rStyle w:val="VerbatimChar"/>
        </w:rPr>
        <w:t xml:space="preserve">Q = Σ (1/v_i) · (y_i − média_fixa)²</w:t>
      </w:r>
    </w:p>
    <w:p>
      <w:pPr>
        <w:pStyle w:val="FirstParagraph"/>
      </w:pPr>
      <w:r>
        <w:t xml:space="preserve">Sob a hipótese de que todos os estudos estimam a mesma prevalência, Q segue uma qui-quadrado com</w:t>
      </w:r>
      <w:r>
        <w:t xml:space="preserve"> </w:t>
      </w:r>
      <w:r>
        <w:rPr>
          <w:bCs/>
          <w:b/>
        </w:rPr>
        <w:t xml:space="preserve">gl = k − 1 graus de liberdade</w:t>
      </w:r>
      <w:r>
        <w:t xml:space="preserve">; logo, o valor esperado de Q</w:t>
      </w:r>
      <w:r>
        <w:t xml:space="preserve"> </w:t>
      </w:r>
      <w:r>
        <w:t xml:space="preserve">“</w:t>
      </w:r>
      <w:r>
        <w:t xml:space="preserve">sem heterogeneidade</w:t>
      </w:r>
      <w:r>
        <w:t xml:space="preserve">”</w:t>
      </w:r>
      <w:r>
        <w:t xml:space="preserve"> </w:t>
      </w:r>
      <w:r>
        <w:t xml:space="preserve">é o próprio gl.</w:t>
      </w:r>
    </w:p>
    <w:p>
      <w:pPr>
        <w:pStyle w:val="BodyText"/>
      </w:pPr>
      <w:r>
        <w:rPr>
          <w:bCs/>
          <w:b/>
        </w:rPr>
        <w:t xml:space="preserve">Valores [deste trabalho, Anexo 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Desfecho</w:t>
            </w:r>
          </w:p>
        </w:tc>
        <w:tc>
          <w:tcPr/>
          <w:p>
            <w:pPr>
              <w:pStyle w:val="Compact"/>
              <w:jc w:val="left"/>
            </w:pPr>
            <w:r>
              <w:t xml:space="preserve">k</w:t>
            </w:r>
          </w:p>
        </w:tc>
        <w:tc>
          <w:tcPr/>
          <w:p>
            <w:pPr>
              <w:pStyle w:val="Compact"/>
              <w:jc w:val="left"/>
            </w:pPr>
            <w:r>
              <w:t xml:space="preserve">Q</w:t>
            </w:r>
          </w:p>
        </w:tc>
        <w:tc>
          <w:tcPr/>
          <w:p>
            <w:pPr>
              <w:pStyle w:val="Compact"/>
              <w:jc w:val="left"/>
            </w:pPr>
            <w:r>
              <w:t xml:space="preserve">gl</w:t>
            </w:r>
          </w:p>
        </w:tc>
        <w:tc>
          <w:tcPr/>
          <w:p>
            <w:pPr>
              <w:pStyle w:val="Compact"/>
              <w:jc w:val="left"/>
            </w:pPr>
            <w:r>
              <w:t xml:space="preserve">p (Q)</w:t>
            </w:r>
          </w:p>
        </w:tc>
        <w:tc>
          <w:tcPr/>
          <w:p>
            <w:pPr>
              <w:pStyle w:val="Compact"/>
              <w:jc w:val="left"/>
            </w:pPr>
            <w:r>
              <w:t xml:space="preserve">tau²</w:t>
            </w:r>
          </w:p>
        </w:tc>
        <w:tc>
          <w:tcPr/>
          <w:p>
            <w:pPr>
              <w:pStyle w:val="Compact"/>
              <w:jc w:val="left"/>
            </w:pPr>
            <w:r>
              <w:t xml:space="preserve">I²</w:t>
            </w:r>
          </w:p>
        </w:tc>
      </w:tr>
      <w:tr>
        <w:tc>
          <w:tcPr/>
          <w:p>
            <w:pPr>
              <w:pStyle w:val="Compact"/>
              <w:jc w:val="left"/>
            </w:pPr>
            <w:r>
              <w:t xml:space="preserve">Sintoma ocular</w:t>
            </w:r>
          </w:p>
        </w:tc>
        <w:tc>
          <w:tcPr/>
          <w:p>
            <w:pPr>
              <w:pStyle w:val="Compact"/>
              <w:jc w:val="left"/>
            </w:pPr>
            <w:r>
              <w:t xml:space="preserve">6</w:t>
            </w:r>
          </w:p>
        </w:tc>
        <w:tc>
          <w:tcPr/>
          <w:p>
            <w:pPr>
              <w:pStyle w:val="Compact"/>
              <w:jc w:val="left"/>
            </w:pPr>
            <w:r>
              <w:t xml:space="preserve">67,81</w:t>
            </w:r>
          </w:p>
        </w:tc>
        <w:tc>
          <w:tcPr/>
          <w:p>
            <w:pPr>
              <w:pStyle w:val="Compact"/>
              <w:jc w:val="left"/>
            </w:pPr>
            <w:r>
              <w:t xml:space="preserve">5</w:t>
            </w:r>
          </w:p>
        </w:tc>
        <w:tc>
          <w:tcPr/>
          <w:p>
            <w:pPr>
              <w:pStyle w:val="Compact"/>
              <w:jc w:val="left"/>
            </w:pPr>
            <w:r>
              <w:t xml:space="preserve">&lt; 0,001</w:t>
            </w:r>
          </w:p>
        </w:tc>
        <w:tc>
          <w:tcPr/>
          <w:p>
            <w:pPr>
              <w:pStyle w:val="Compact"/>
              <w:jc w:val="left"/>
            </w:pPr>
            <w:r>
              <w:t xml:space="preserve">0,493</w:t>
            </w:r>
          </w:p>
        </w:tc>
        <w:tc>
          <w:tcPr/>
          <w:p>
            <w:pPr>
              <w:pStyle w:val="Compact"/>
              <w:jc w:val="left"/>
            </w:pPr>
            <w:r>
              <w:t xml:space="preserve">93%</w:t>
            </w:r>
          </w:p>
        </w:tc>
      </w:tr>
      <w:tr>
        <w:tc>
          <w:tcPr/>
          <w:p>
            <w:pPr>
              <w:pStyle w:val="Compact"/>
              <w:jc w:val="left"/>
            </w:pPr>
            <w:r>
              <w:t xml:space="preserve">Sintoma respiratório</w:t>
            </w:r>
          </w:p>
        </w:tc>
        <w:tc>
          <w:tcPr/>
          <w:p>
            <w:pPr>
              <w:pStyle w:val="Compact"/>
              <w:jc w:val="left"/>
            </w:pPr>
            <w:r>
              <w:t xml:space="preserve">7</w:t>
            </w:r>
          </w:p>
        </w:tc>
        <w:tc>
          <w:tcPr/>
          <w:p>
            <w:pPr>
              <w:pStyle w:val="Compact"/>
              <w:jc w:val="left"/>
            </w:pPr>
            <w:r>
              <w:t xml:space="preserve">65,08</w:t>
            </w:r>
          </w:p>
        </w:tc>
        <w:tc>
          <w:tcPr/>
          <w:p>
            <w:pPr>
              <w:pStyle w:val="Compact"/>
              <w:jc w:val="left"/>
            </w:pPr>
            <w:r>
              <w:t xml:space="preserve">6</w:t>
            </w:r>
          </w:p>
        </w:tc>
        <w:tc>
          <w:tcPr/>
          <w:p>
            <w:pPr>
              <w:pStyle w:val="Compact"/>
              <w:jc w:val="left"/>
            </w:pPr>
            <w:r>
              <w:t xml:space="preserve">&lt; 0,001</w:t>
            </w:r>
          </w:p>
        </w:tc>
        <w:tc>
          <w:tcPr/>
          <w:p>
            <w:pPr>
              <w:pStyle w:val="Compact"/>
              <w:jc w:val="left"/>
            </w:pPr>
            <w:r>
              <w:t xml:space="preserve">0,249</w:t>
            </w:r>
          </w:p>
        </w:tc>
        <w:tc>
          <w:tcPr/>
          <w:p>
            <w:pPr>
              <w:pStyle w:val="Compact"/>
              <w:jc w:val="left"/>
            </w:pPr>
            <w:r>
              <w:t xml:space="preserve">91%</w:t>
            </w:r>
          </w:p>
        </w:tc>
      </w:tr>
    </w:tbl>
    <w:p>
      <w:pPr>
        <w:pStyle w:val="BodyText"/>
      </w:pPr>
      <w:r>
        <w:t xml:space="preserve">Ou seja: esperávamos Q ≈ 5 e obtivemos 67,8. A variação observada é treze vezes a que o acaso amostral explicaria.</w:t>
      </w:r>
    </w:p>
    <w:p>
      <w:pPr>
        <w:pStyle w:val="BodyText"/>
      </w:pPr>
      <w:r>
        <w:rPr>
          <w:bCs/>
          <w:b/>
        </w:rPr>
        <w:t xml:space="preserve">De onde vem o Q = 67,81 [conta minha, a partir do Anexo D].</w:t>
      </w:r>
      <w:r>
        <w:t xml:space="preserve"> </w:t>
      </w:r>
      <w:r>
        <w:t xml:space="preserve">A média de efeito fixo do ocular é −0,524 logito. A contribuição de cada estudo é (1/v_i)·(y_i + 0,524)²:</w:t>
      </w:r>
    </w:p>
    <w:p>
      <w:pPr>
        <w:numPr>
          <w:ilvl w:val="0"/>
          <w:numId w:val="1016"/>
        </w:numPr>
        <w:pStyle w:val="Compact"/>
      </w:pPr>
      <w:r>
        <w:t xml:space="preserve">İlçe 2017: 19,6 × (−0,375 + 0,524)² = 19,6 × 0,022 = 0,44</w:t>
      </w:r>
    </w:p>
    <w:p>
      <w:pPr>
        <w:numPr>
          <w:ilvl w:val="0"/>
          <w:numId w:val="1016"/>
        </w:numPr>
        <w:pStyle w:val="Compact"/>
      </w:pPr>
      <w:r>
        <w:t xml:space="preserve">Cinar 2022: 20,2 × 0,592 = 11,96</w:t>
      </w:r>
    </w:p>
    <w:p>
      <w:pPr>
        <w:numPr>
          <w:ilvl w:val="0"/>
          <w:numId w:val="1016"/>
        </w:numPr>
        <w:pStyle w:val="Compact"/>
      </w:pPr>
      <w:r>
        <w:t xml:space="preserve">Usta 2019: 26,1 × 0,485 = 12,63</w:t>
      </w:r>
    </w:p>
    <w:p>
      <w:pPr>
        <w:numPr>
          <w:ilvl w:val="0"/>
          <w:numId w:val="1016"/>
        </w:numPr>
        <w:pStyle w:val="Compact"/>
      </w:pPr>
      <w:r>
        <w:t xml:space="preserve">Mohd Fikri Rosely 2022: 30,6 × (−1,425 + 0,524)² = 30,6 × 0,811 =</w:t>
      </w:r>
      <w:r>
        <w:t xml:space="preserve"> </w:t>
      </w:r>
      <w:r>
        <w:rPr>
          <w:bCs/>
          <w:b/>
        </w:rPr>
        <w:t xml:space="preserve">24,85</w:t>
      </w:r>
    </w:p>
    <w:p>
      <w:pPr>
        <w:numPr>
          <w:ilvl w:val="0"/>
          <w:numId w:val="1016"/>
        </w:numPr>
        <w:pStyle w:val="Compact"/>
      </w:pPr>
      <w:r>
        <w:t xml:space="preserve">Mohd Fikri Rosely 2019: 22,3 × 0,697 = 15,52</w:t>
      </w:r>
    </w:p>
    <w:p>
      <w:pPr>
        <w:numPr>
          <w:ilvl w:val="0"/>
          <w:numId w:val="1016"/>
        </w:numPr>
        <w:pStyle w:val="Compact"/>
      </w:pPr>
      <w:r>
        <w:t xml:space="preserve">Bieniek 2022: 38,0 × 0,063 = 2,41</w:t>
      </w:r>
    </w:p>
    <w:p>
      <w:pPr>
        <w:numPr>
          <w:ilvl w:val="0"/>
          <w:numId w:val="1016"/>
        </w:numPr>
        <w:pStyle w:val="Compact"/>
      </w:pPr>
      <w:r>
        <w:t xml:space="preserve">Soma = 67,81 ✓</w:t>
      </w:r>
    </w:p>
    <w:p>
      <w:pPr>
        <w:pStyle w:val="FirstParagraph"/>
      </w:pPr>
      <w:r>
        <w:t xml:space="preserve">Esses seis números são o eixo horizontal do gráfico de Baujat (seção 6.8). O resumo de congresso malaio, sozinho, responde por 37% do Q.</w:t>
      </w:r>
    </w:p>
    <w:p>
      <w:pPr>
        <w:pStyle w:val="BodyText"/>
      </w:pPr>
      <w:r>
        <w:rPr>
          <w:bCs/>
          <w:b/>
        </w:rPr>
        <w:t xml:space="preserve">I² [deste trabalho, nota do Anexo G:</w:t>
      </w:r>
      <w:r>
        <w:rPr>
          <w:bCs/>
          <w:b/>
        </w:rPr>
        <w:t xml:space="preserve"> </w:t>
      </w:r>
      <w:r>
        <w:rPr>
          <w:bCs/>
          <w:b/>
        </w:rPr>
        <w:t xml:space="preserve">“</w:t>
      </w:r>
      <w:r>
        <w:rPr>
          <w:bCs/>
          <w:b/>
        </w:rPr>
        <w:t xml:space="preserve">I² = (Q − gl)/Q</w:t>
      </w:r>
      <w:r>
        <w:rPr>
          <w:bCs/>
          <w:b/>
        </w:rPr>
        <w:t xml:space="preserve">”</w:t>
      </w:r>
      <w:r>
        <w:rPr>
          <w:bCs/>
          <w:b/>
        </w:rPr>
        <w:t xml:space="preserve">].</w:t>
      </w:r>
    </w:p>
    <w:p>
      <w:pPr>
        <w:numPr>
          <w:ilvl w:val="0"/>
          <w:numId w:val="1017"/>
        </w:numPr>
        <w:pStyle w:val="Compact"/>
      </w:pPr>
      <w:r>
        <w:t xml:space="preserve">Ocular: I² = (67,81 − 5)/67,81 = 62,81/67,81 = 0,926 →</w:t>
      </w:r>
      <w:r>
        <w:t xml:space="preserve"> </w:t>
      </w:r>
      <w:r>
        <w:rPr>
          <w:bCs/>
          <w:b/>
        </w:rPr>
        <w:t xml:space="preserve">93%</w:t>
      </w:r>
    </w:p>
    <w:p>
      <w:pPr>
        <w:numPr>
          <w:ilvl w:val="0"/>
          <w:numId w:val="1017"/>
        </w:numPr>
        <w:pStyle w:val="Compact"/>
      </w:pPr>
      <w:r>
        <w:t xml:space="preserve">Respiratório: I² = (65,08 − 6)/65,08 = 59,08/65,08 = 0,908 →</w:t>
      </w:r>
      <w:r>
        <w:t xml:space="preserve"> </w:t>
      </w:r>
      <w:r>
        <w:rPr>
          <w:bCs/>
          <w:b/>
        </w:rPr>
        <w:t xml:space="preserve">91%</w:t>
      </w:r>
    </w:p>
    <w:p>
      <w:pPr>
        <w:pStyle w:val="FirstParagraph"/>
      </w:pPr>
      <w:r>
        <w:t xml:space="preserve">Leitura: 93% da variabilidade total entre os logitos observados é atribuível a diferenças reais entre estudos, e não a erro amostral. Pela convenção do Cochrane Handbook [conhecimento geral], acima de 75% é heterogeneidade</w:t>
      </w:r>
      <w:r>
        <w:t xml:space="preserve"> </w:t>
      </w:r>
      <w:r>
        <w:t xml:space="preserve">“</w:t>
      </w:r>
      <w:r>
        <w:t xml:space="preserve">considerável</w:t>
      </w:r>
      <w:r>
        <w:t xml:space="preserve">”</w:t>
      </w:r>
      <w:r>
        <w:t xml:space="preserve">. O GRADE rebaixou inconsistência como</w:t>
      </w:r>
      <w:r>
        <w:t xml:space="preserve"> </w:t>
      </w:r>
      <w:r>
        <w:t xml:space="preserve">“</w:t>
      </w:r>
      <w:r>
        <w:t xml:space="preserve">muito grave</w:t>
      </w:r>
      <w:r>
        <w:t xml:space="preserve">”</w:t>
      </w:r>
      <w:r>
        <w:t xml:space="preserve"> </w:t>
      </w:r>
      <w:r>
        <w:t xml:space="preserve">por isso</w:t>
      </w:r>
      <w:r>
        <w:t xml:space="preserve"> </w:t>
      </w:r>
      <w:r>
        <w:rPr>
          <w:bCs/>
          <w:b/>
        </w:rPr>
        <w:t xml:space="preserve">[deste trabalho, Anexo F]</w:t>
      </w:r>
      <w:r>
        <w:t xml:space="preserve">.</w:t>
      </w:r>
    </w:p>
    <w:p>
      <w:pPr>
        <w:pStyle w:val="BodyText"/>
      </w:pPr>
      <w:r>
        <w:rPr>
          <w:bCs/>
          <w:b/>
        </w:rPr>
        <w:t xml:space="preserve">Por que I² alto é esperado em metanálise de prevalência [deste trabalho, Discussão:</w:t>
      </w:r>
      <w:r>
        <w:rPr>
          <w:bCs/>
          <w:b/>
        </w:rPr>
        <w:t xml:space="preserve"> </w:t>
      </w:r>
      <w:r>
        <w:rPr>
          <w:bCs/>
          <w:b/>
        </w:rPr>
        <w:t xml:space="preserve">“</w:t>
      </w:r>
      <w:r>
        <w:rPr>
          <w:bCs/>
          <w:b/>
        </w:rPr>
        <w:t xml:space="preserve">o que é esperado em metanálises de prevalência</w:t>
      </w:r>
      <w:r>
        <w:rPr>
          <w:bCs/>
          <w:b/>
        </w:rPr>
        <w:t xml:space="preserve">”</w:t>
      </w:r>
      <w:r>
        <w:rPr>
          <w:bCs/>
          <w:b/>
        </w:rPr>
        <w:t xml:space="preserve">; mecanismo = conhecimento geral].</w:t>
      </w:r>
      <w:r>
        <w:t xml:space="preserve"> </w:t>
      </w:r>
      <w:r>
        <w:t xml:space="preserve">Três argumentos para ter na ponta da língua:</w:t>
      </w:r>
    </w:p>
    <w:p>
      <w:pPr>
        <w:numPr>
          <w:ilvl w:val="0"/>
          <w:numId w:val="1018"/>
        </w:numPr>
        <w:pStyle w:val="Compact"/>
      </w:pPr>
      <w:r>
        <w:rPr>
          <w:bCs/>
          <w:b/>
        </w:rPr>
        <w:t xml:space="preserve">I² é relativo, não absoluto.</w:t>
      </w:r>
      <w:r>
        <w:t xml:space="preserve"> </w:t>
      </w:r>
      <w:r>
        <w:t xml:space="preserve">I² compara a variância entre estudos com a variância dentro dos estudos. Inquéritos de prevalência têm variâncias dentro do estudo muito pequenas (v_i de 0,006 a 0,07 aqui), porque basta n de algumas dezenas para estimar uma proporção com precisão. Então qualquer diferença real, mesmo modesta, vira I² alto. A medida absoluta da heterogeneidade é tau² (e o intervalo de predição), não I².</w:t>
      </w:r>
    </w:p>
    <w:p>
      <w:pPr>
        <w:numPr>
          <w:ilvl w:val="0"/>
          <w:numId w:val="1018"/>
        </w:numPr>
        <w:pStyle w:val="Compact"/>
      </w:pPr>
      <w:r>
        <w:rPr>
          <w:bCs/>
          <w:b/>
        </w:rPr>
        <w:t xml:space="preserve">Prevalência varia de verdade.</w:t>
      </w:r>
      <w:r>
        <w:t xml:space="preserve"> </w:t>
      </w:r>
      <w:r>
        <w:t xml:space="preserve">Diferente de um risco relativo de um fármaco, que pode ser parecido em Ancara e em Kuala Lumpur, a frequência de um sintoma depende do contexto: exaustão de fumaça, máscara, tipo de bisturi, definição do sintoma, instrumento, período de recordatório. O manuscrito lista essas fontes na Discussão.</w:t>
      </w:r>
    </w:p>
    <w:p>
      <w:pPr>
        <w:numPr>
          <w:ilvl w:val="0"/>
          <w:numId w:val="1018"/>
        </w:numPr>
        <w:pStyle w:val="Compact"/>
      </w:pPr>
      <w:r>
        <w:rPr>
          <w:bCs/>
          <w:b/>
        </w:rPr>
        <w:t xml:space="preserve">Há literatura específica sobre isso</w:t>
      </w:r>
      <w:r>
        <w:t xml:space="preserve"> </w:t>
      </w:r>
      <w:r>
        <w:t xml:space="preserve">[conhecimento geral, não está na sua lista de referências]: Migliavaca et al. (2022,</w:t>
      </w:r>
      <w:r>
        <w:t xml:space="preserve"> </w:t>
      </w:r>
      <w:r>
        <w:rPr>
          <w:iCs/>
          <w:i/>
        </w:rPr>
        <w:t xml:space="preserve">Research Synthesis Methods</w:t>
      </w:r>
      <w:r>
        <w:t xml:space="preserve">) mostraram que I² acima de 90% é a regra, não a exceção, em metanálises de prevalência, e recomendam interpretar com intervalo de predição e análises de subgrupo, exatamente o que você fez.</w:t>
      </w:r>
    </w:p>
    <w:p>
      <w:pPr>
        <w:pStyle w:val="FirstParagraph"/>
      </w:pPr>
      <w:r>
        <w:t xml:space="preserve">Frase para a defesa:</w:t>
      </w:r>
      <w:r>
        <w:t xml:space="preserve"> </w:t>
      </w:r>
      <w:r>
        <w:t xml:space="preserve">“</w:t>
      </w:r>
      <w:r>
        <w:t xml:space="preserve">O I² de 93% não diz que a metanálise é ruim; diz que a prevalência varia muito entre contextos, e é por isso que a estimativa deve ser lida junto com o intervalo de predição.</w:t>
      </w:r>
      <w:r>
        <w:t xml:space="preserve">”</w:t>
      </w:r>
    </w:p>
    <w:bookmarkEnd w:id="71"/>
    <w:bookmarkStart w:id="72" w:name="X3cff3d15e7260671ceb7deaf64e2a693c367de2"/>
    <w:p>
      <w:pPr>
        <w:pStyle w:val="Heading3"/>
      </w:pPr>
      <w:r>
        <w:t xml:space="preserve">6.7 Intervalo de predição: onde cairia o próximo estudo</w:t>
      </w:r>
    </w:p>
    <w:p>
      <w:pPr>
        <w:pStyle w:val="FirstParagraph"/>
      </w:pPr>
      <w:r>
        <w:rPr>
          <w:bCs/>
          <w:b/>
        </w:rPr>
        <w:t xml:space="preserve">A fórmula [deste trabalho, Métodos].</w:t>
      </w:r>
    </w:p>
    <w:p>
      <w:pPr>
        <w:pStyle w:val="SourceCode"/>
      </w:pPr>
      <w:r>
        <w:rPr>
          <w:rStyle w:val="VerbatimChar"/>
        </w:rPr>
        <w:t xml:space="preserve">IP95% = média ± t(k−2; 97,5%) × √( tau² + EP² )</w:t>
      </w:r>
    </w:p>
    <w:p>
      <w:pPr>
        <w:pStyle w:val="FirstParagraph"/>
      </w:pPr>
      <w:r>
        <w:t xml:space="preserve">Note a diferença para o IC: o IC usa só EP² (incerteza sobre a</w:t>
      </w:r>
      <w:r>
        <w:t xml:space="preserve"> </w:t>
      </w:r>
      <w:r>
        <w:rPr>
          <w:iCs/>
          <w:i/>
        </w:rPr>
        <w:t xml:space="preserve">média</w:t>
      </w:r>
      <w:r>
        <w:t xml:space="preserve">); o IP soma tau² (a dispersão real entre contextos). Por isso o IP é sempre mais largo.</w:t>
      </w:r>
    </w:p>
    <w:p>
      <w:pPr>
        <w:pStyle w:val="BodyText"/>
      </w:pPr>
      <w:r>
        <w:rPr>
          <w:bCs/>
          <w:b/>
        </w:rPr>
        <w:t xml:space="preserve">Por que k − 2 [conhecimento geral; Riley, Higgins e Deeks, 2011, citados no manuscrito].</w:t>
      </w:r>
      <w:r>
        <w:t xml:space="preserve"> </w:t>
      </w:r>
      <w:r>
        <w:t xml:space="preserve">Dois parâmetros foram estimados a partir dos k estudos, a média e tau², e cada um</w:t>
      </w:r>
      <w:r>
        <w:t xml:space="preserve"> </w:t>
      </w:r>
      <w:r>
        <w:t xml:space="preserve">“</w:t>
      </w:r>
      <w:r>
        <w:t xml:space="preserve">consome</w:t>
      </w:r>
      <w:r>
        <w:t xml:space="preserve">”</w:t>
      </w:r>
      <w:r>
        <w:t xml:space="preserve"> </w:t>
      </w:r>
      <w:r>
        <w:t xml:space="preserve">um grau de liberdade.</w:t>
      </w:r>
    </w:p>
    <w:p>
      <w:pPr>
        <w:pStyle w:val="BodyText"/>
      </w:pPr>
      <w:r>
        <w:rPr>
          <w:bCs/>
          <w:b/>
        </w:rPr>
        <w:t xml:space="preserve">Conta para o ocular [conta minha, reproduz o manuscrito]:</w:t>
      </w:r>
    </w:p>
    <w:p>
      <w:pPr>
        <w:numPr>
          <w:ilvl w:val="0"/>
          <w:numId w:val="1019"/>
        </w:numPr>
        <w:pStyle w:val="Compact"/>
      </w:pPr>
      <w:r>
        <w:t xml:space="preserve">t(4; 97,5%) =</w:t>
      </w:r>
      <w:r>
        <w:t xml:space="preserve"> </w:t>
      </w:r>
      <w:r>
        <w:rPr>
          <w:bCs/>
          <w:b/>
        </w:rPr>
        <w:t xml:space="preserve">2,776</w:t>
      </w:r>
    </w:p>
    <w:p>
      <w:pPr>
        <w:numPr>
          <w:ilvl w:val="0"/>
          <w:numId w:val="1019"/>
        </w:numPr>
        <w:pStyle w:val="Compact"/>
      </w:pPr>
      <w:r>
        <w:t xml:space="preserve">tau² + EP² = 0,493 + 0,298² = 0,493 + 0,089 = 0,582; √0,582 = 0,763</w:t>
      </w:r>
    </w:p>
    <w:p>
      <w:pPr>
        <w:numPr>
          <w:ilvl w:val="0"/>
          <w:numId w:val="1019"/>
        </w:numPr>
        <w:pStyle w:val="Compact"/>
      </w:pPr>
      <w:r>
        <w:t xml:space="preserve">meia-largura = 2,776 × 0,763 = 2,118</w:t>
      </w:r>
    </w:p>
    <w:p>
      <w:pPr>
        <w:numPr>
          <w:ilvl w:val="0"/>
          <w:numId w:val="1019"/>
        </w:numPr>
        <w:pStyle w:val="Compact"/>
      </w:pPr>
      <w:r>
        <w:t xml:space="preserve">IP na escala logito = −0,505 ± 2,118 = [−2,623; +1,614]</w:t>
      </w:r>
    </w:p>
    <w:p>
      <w:pPr>
        <w:numPr>
          <w:ilvl w:val="0"/>
          <w:numId w:val="1019"/>
        </w:numPr>
        <w:pStyle w:val="Compact"/>
      </w:pPr>
      <w:r>
        <w:t xml:space="preserve">Retrotransformando: e^−2,623 = 0,073 → 0,073/1,073 = 0,068 →</w:t>
      </w:r>
      <w:r>
        <w:t xml:space="preserve"> </w:t>
      </w:r>
      <w:r>
        <w:rPr>
          <w:bCs/>
          <w:b/>
        </w:rPr>
        <w:t xml:space="preserve">7%</w:t>
      </w:r>
      <w:r>
        <w:t xml:space="preserve">; e^1,614 = 5,02 → 5,02/6,02 = 0,834 →</w:t>
      </w:r>
      <w:r>
        <w:t xml:space="preserve"> </w:t>
      </w:r>
      <w:r>
        <w:rPr>
          <w:bCs/>
          <w:b/>
        </w:rPr>
        <w:t xml:space="preserve">83%</w:t>
      </w:r>
    </w:p>
    <w:p>
      <w:pPr>
        <w:pStyle w:val="FirstParagraph"/>
      </w:pPr>
      <w:r>
        <w:t xml:space="preserve">Resultado:</w:t>
      </w:r>
      <w:r>
        <w:t xml:space="preserve"> </w:t>
      </w:r>
      <w:r>
        <w:rPr>
          <w:bCs/>
          <w:b/>
        </w:rPr>
        <w:t xml:space="preserve">IP 7–83%</w:t>
      </w:r>
      <w:r>
        <w:t xml:space="preserve"> </w:t>
      </w:r>
      <w:r>
        <w:rPr>
          <w:bCs/>
          <w:b/>
        </w:rPr>
        <w:t xml:space="preserve">[deste trabalho]</w:t>
      </w:r>
      <w:r>
        <w:t xml:space="preserve">.</w:t>
      </w:r>
    </w:p>
    <w:p>
      <w:pPr>
        <w:pStyle w:val="BodyText"/>
      </w:pPr>
      <w:r>
        <w:rPr>
          <w:bCs/>
          <w:b/>
        </w:rPr>
        <w:t xml:space="preserve">Conta para o respiratório [conta minha, reproduz o manuscrito]:</w:t>
      </w:r>
      <w:r>
        <w:t xml:space="preserve"> </w:t>
      </w:r>
      <w:r>
        <w:t xml:space="preserve">t(5) = 2,571; √(0,249 + 0,201²) = √0,290 = 0,538; meia-largura = 1,384; IP logito [−1,721; +1,047] →</w:t>
      </w:r>
      <w:r>
        <w:t xml:space="preserve"> </w:t>
      </w:r>
      <w:r>
        <w:rPr>
          <w:bCs/>
          <w:b/>
        </w:rPr>
        <w:t xml:space="preserve">15% a 74%</w:t>
      </w:r>
      <w:r>
        <w:t xml:space="preserve"> </w:t>
      </w:r>
      <w:r>
        <w:rPr>
          <w:bCs/>
          <w:b/>
        </w:rPr>
        <w:t xml:space="preserve">[deste trabalho]</w:t>
      </w:r>
      <w:r>
        <w:t xml:space="preserve">.</w:t>
      </w:r>
    </w:p>
    <w:p>
      <w:pPr>
        <w:pStyle w:val="BodyText"/>
      </w:pPr>
      <w:r>
        <w:rPr>
          <w:bCs/>
          <w:b/>
        </w:rPr>
        <w:t xml:space="preserve">Interpretação.</w:t>
      </w:r>
      <w:r>
        <w:t xml:space="preserve"> </w:t>
      </w:r>
      <w:r>
        <w:t xml:space="preserve">O IC diz:</w:t>
      </w:r>
      <w:r>
        <w:t xml:space="preserve"> </w:t>
      </w:r>
      <w:r>
        <w:t xml:space="preserve">“</w:t>
      </w:r>
      <w:r>
        <w:t xml:space="preserve">a prevalência média entre contextos está, com 95% de confiança, entre 21,9% e 56,5%</w:t>
      </w:r>
      <w:r>
        <w:t xml:space="preserve">”</w:t>
      </w:r>
      <w:r>
        <w:t xml:space="preserve">. O IP diz:</w:t>
      </w:r>
      <w:r>
        <w:t xml:space="preserve"> </w:t>
      </w:r>
      <w:r>
        <w:t xml:space="preserve">“</w:t>
      </w:r>
      <w:r>
        <w:t xml:space="preserve">se você fizer um novo inquérito num centro cirúrgico qualquer, espere encontrar algo entre 7% e 83%</w:t>
      </w:r>
      <w:r>
        <w:t xml:space="preserve">”</w:t>
      </w:r>
      <w:r>
        <w:t xml:space="preserve">. A segunda frase é a que importa para quem vai aplicar o resultado, e ela é a razão de o manuscrito insistir em</w:t>
      </w:r>
      <w:r>
        <w:t xml:space="preserve"> </w:t>
      </w:r>
      <w:r>
        <w:t xml:space="preserve">“</w:t>
      </w:r>
      <w:r>
        <w:t xml:space="preserve">interpretar a estimativa combinada à luz do intervalo de predição</w:t>
      </w:r>
      <w:r>
        <w:t xml:space="preserve">”</w:t>
      </w:r>
      <w:r>
        <w:t xml:space="preserve">.</w:t>
      </w:r>
    </w:p>
    <w:p>
      <w:pPr>
        <w:pStyle w:val="BodyText"/>
      </w:pPr>
      <w:r>
        <w:rPr>
          <w:bCs/>
          <w:b/>
        </w:rPr>
        <w:t xml:space="preserve">Por que é instável com k &lt; 10 [deste trabalho, Métodos:</w:t>
      </w:r>
      <w:r>
        <w:rPr>
          <w:bCs/>
          <w:b/>
        </w:rPr>
        <w:t xml:space="preserve"> </w:t>
      </w:r>
      <w:r>
        <w:rPr>
          <w:bCs/>
          <w:b/>
        </w:rPr>
        <w:t xml:space="preserve">“</w:t>
      </w:r>
      <w:r>
        <w:rPr>
          <w:bCs/>
          <w:b/>
        </w:rPr>
        <w:t xml:space="preserve">com menos de dez estudos, esse intervalo é instável</w:t>
      </w:r>
      <w:r>
        <w:rPr>
          <w:bCs/>
          <w:b/>
        </w:rPr>
        <w:t xml:space="preserve">”</w:t>
      </w:r>
      <w:r>
        <w:rPr>
          <w:bCs/>
          <w:b/>
        </w:rPr>
        <w:t xml:space="preserve">; mecanismo = conhecimento geral].</w:t>
      </w:r>
      <w:r>
        <w:t xml:space="preserve"> </w:t>
      </w:r>
      <w:r>
        <w:t xml:space="preserve">Dois motivos: (1) tau² é mal estimado com poucos estudos, e o IP é dominado por tau² (0,493 contra 0,089 do EP²); (2) t(4) = 2,776 é um multiplicador grande, e ele muda muito quando k muda (t(3) = 3,182; t(5) = 2,571). Exemplo concreto [conta minha]: ao retirar um estudo por vez no ocular, tau² oscila entre 0,37 e 0,62, e o IP, que é construído sobre tau², oscila junto. Por isso o manuscrito o rotula como instável e o GRADE o usou no domínio inconsistência, não no de imprecisão (nota do Anexo F).</w:t>
      </w:r>
    </w:p>
    <w:bookmarkEnd w:id="72"/>
    <w:bookmarkStart w:id="73" w:name="X6c047dfde58d4c7209d45d1f9f3d61ad7c6f267"/>
    <w:p>
      <w:pPr>
        <w:pStyle w:val="Heading3"/>
      </w:pPr>
      <w:r>
        <w:t xml:space="preserve">6.8 Análises de sensibilidade: o que cada uma testa e o que achou</w:t>
      </w:r>
    </w:p>
    <w:p>
      <w:pPr>
        <w:pStyle w:val="FirstParagraph"/>
      </w:pPr>
      <w:r>
        <w:t xml:space="preserve">A lógica geral: se a conclusão só se sustenta com um modelo específico ou com um estudo específico, ela é frágil. Você testou sete ângulos diferentes.</w:t>
      </w:r>
    </w:p>
    <w:p>
      <w:pPr>
        <w:pStyle w:val="BodyText"/>
      </w:pPr>
      <w:r>
        <w:rPr>
          <w:bCs/>
          <w:b/>
        </w:rPr>
        <w:t xml:space="preserve">(a) Freeman-Tukey duplo-arcoseno [deste trabalho + conhecimento geral].</w:t>
      </w:r>
      <w:r>
        <w:t xml:space="preserve"> </w:t>
      </w:r>
      <w:r>
        <w:t xml:space="preserve">É uma transformação alternativa ao logito, pensada para estabilizar a variância da proporção:</w:t>
      </w:r>
    </w:p>
    <w:p>
      <w:pPr>
        <w:pStyle w:val="SourceCode"/>
      </w:pPr>
      <w:r>
        <w:rPr>
          <w:rStyle w:val="VerbatimChar"/>
        </w:rPr>
        <w:t xml:space="preserve">y = ½ · [ arcsin√(e/(n+1)) + arcsin√((e+1)/(n+1)) ]</w:t>
      </w:r>
      <w:r>
        <w:br/>
      </w:r>
      <w:r>
        <w:rPr>
          <w:rStyle w:val="VerbatimChar"/>
        </w:rPr>
        <w:t xml:space="preserve">v = 1 / (4n + 2)</w:t>
      </w:r>
    </w:p>
    <w:p>
      <w:pPr>
        <w:pStyle w:val="FirstParagraph"/>
      </w:pPr>
      <w:r>
        <w:t xml:space="preserve">Para İlçe [conta minha]: arcsin√(33/82) = 0,687; arcsin√(34/82) = 0,700; y = 0,693; v = 1/326 = 0,00307. Repare que v só depende de n, não de p: é a</w:t>
      </w:r>
      <w:r>
        <w:t xml:space="preserve"> </w:t>
      </w:r>
      <w:r>
        <w:t xml:space="preserve">“</w:t>
      </w:r>
      <w:r>
        <w:t xml:space="preserve">estabilização da variância</w:t>
      </w:r>
      <w:r>
        <w:t xml:space="preserve">”</w:t>
      </w:r>
      <w:r>
        <w:t xml:space="preserve">. No seu trabalho ela foi combinada com o estimador de DerSimonian-Laird e IC normal (z = 1,96), ou seja, de propósito um pacote diferente do principal, para ver se o resultado dependia das escolhas.</w:t>
      </w:r>
    </w:p>
    <w:p>
      <w:pPr>
        <w:pStyle w:val="BodyText"/>
      </w:pPr>
      <w:r>
        <w:rPr>
          <w:iCs/>
          <w:i/>
        </w:rPr>
        <w:t xml:space="preserve">Retrotransformação pela média harmônica [deste trabalho; Barker et al., 2021].</w:t>
      </w:r>
      <w:r>
        <w:t xml:space="preserve"> </w:t>
      </w:r>
      <w:r>
        <w:t xml:space="preserve">A inversa do duplo-arcoseno precisa de um n, e os estudos têm n diferentes. A recomendação de Barker et al. é usar a média harmônica dos n: n_h = k/Σ(1/n_i). Para o ocular [conta minha], n_h = 6/(1/81 + 1/82 + 1/105 + 1/196 + 1/137 + 1/155) = 113,4. A média harmônica é puxada para os n menores, o que a torna mais conservadora do que a aritmética (126) para essa finalidade. Resultado:</w:t>
      </w:r>
      <w:r>
        <w:t xml:space="preserve"> </w:t>
      </w:r>
      <w:r>
        <w:rPr>
          <w:bCs/>
          <w:b/>
        </w:rPr>
        <w:t xml:space="preserve">38,1% (ocular) e 41,7% (respiratório)</w:t>
      </w:r>
      <w:r>
        <w:t xml:space="preserve"> </w:t>
      </w:r>
      <w:r>
        <w:rPr>
          <w:bCs/>
          <w:b/>
        </w:rPr>
        <w:t xml:space="preserve">[deste trabalho]</w:t>
      </w:r>
      <w:r>
        <w:t xml:space="preserve">.</w:t>
      </w:r>
    </w:p>
    <w:p>
      <w:pPr>
        <w:pStyle w:val="BodyText"/>
      </w:pPr>
      <w:r>
        <w:rPr>
          <w:iCs/>
          <w:i/>
        </w:rPr>
        <w:t xml:space="preserve">Limitação para citar se perguntarem [conhecimento geral]:</w:t>
      </w:r>
      <w:r>
        <w:t xml:space="preserve"> </w:t>
      </w:r>
      <w:r>
        <w:t xml:space="preserve">a retrotransformação do Freeman-Tukey pode se comportar mal quando os n são muito díspares; é uma das razões para você também ter rodado o GLMM.</w:t>
      </w:r>
    </w:p>
    <w:p>
      <w:pPr>
        <w:pStyle w:val="BodyText"/>
      </w:pPr>
      <w:r>
        <w:rPr>
          <w:bCs/>
          <w:b/>
        </w:rPr>
        <w:t xml:space="preserve">(b) GLMM logístico de intercepto aleatório [deste trabalho + conhecimento geral].</w:t>
      </w:r>
      <w:r>
        <w:t xml:space="preserve"> </w:t>
      </w:r>
      <w:r>
        <w:t xml:space="preserve">Em vez de</w:t>
      </w:r>
      <w:r>
        <w:t xml:space="preserve"> </w:t>
      </w:r>
      <w:r>
        <w:t xml:space="preserve">“</w:t>
      </w:r>
      <w:r>
        <w:t xml:space="preserve">transformar e depois combinar</w:t>
      </w:r>
      <w:r>
        <w:t xml:space="preserve">”</w:t>
      </w:r>
      <w:r>
        <w:t xml:space="preserve"> </w:t>
      </w:r>
      <w:r>
        <w:t xml:space="preserve">(abordagem em dois estágios), o GLMM modela diretamente as contagens:</w:t>
      </w:r>
    </w:p>
    <w:p>
      <w:pPr>
        <w:pStyle w:val="SourceCode"/>
      </w:pPr>
      <w:r>
        <w:rPr>
          <w:rStyle w:val="VerbatimChar"/>
        </w:rPr>
        <w:t xml:space="preserve">e_i ~ Binomial(n_i, p_i)</w:t>
      </w:r>
      <w:r>
        <w:br/>
      </w:r>
      <w:r>
        <w:rPr>
          <w:rStyle w:val="VerbatimChar"/>
        </w:rPr>
        <w:t xml:space="preserve">logit(p_i) = μ + u_i,    u_i ~ Normal(0, tau²)</w:t>
      </w:r>
    </w:p>
    <w:p>
      <w:pPr>
        <w:pStyle w:val="FirstParagraph"/>
      </w:pPr>
      <w:r>
        <w:t xml:space="preserve">Vantagens: usa a verossimilhança binomial exata (sem a aproximação v = 1/e + 1/(n−e)), nunca precisa de correção de continuidade e lida bem com n díspares (os Métodos dizem:</w:t>
      </w:r>
      <w:r>
        <w:t xml:space="preserve"> </w:t>
      </w:r>
      <w:r>
        <w:t xml:space="preserve">“</w:t>
      </w:r>
      <w:r>
        <w:t xml:space="preserve">recomendada para proporções com tamanhos amostrais díspares</w:t>
      </w:r>
      <w:r>
        <w:t xml:space="preserve">”</w:t>
      </w:r>
      <w:r>
        <w:t xml:space="preserve">). É o que o pacote metafor faz na rotina rma.glmm, que você reimplementou em Python.</w:t>
      </w:r>
    </w:p>
    <w:p>
      <w:pPr>
        <w:pStyle w:val="BodyText"/>
      </w:pPr>
      <w:r>
        <w:rPr>
          <w:iCs/>
          <w:i/>
        </w:rPr>
        <w:t xml:space="preserve">Gauss-Hermite em uma frase:</w:t>
      </w:r>
      <w:r>
        <w:t xml:space="preserve"> </w:t>
      </w:r>
      <w:r>
        <w:t xml:space="preserve">para calcular a verossimilhança é preciso integrar sobre o efeito aleatório u_i, que não é observado, e a quadratura de Gauss-Hermite aproxima essa integral por uma soma ponderada em 80 pontos fixos (os</w:t>
      </w:r>
      <w:r>
        <w:t xml:space="preserve"> </w:t>
      </w:r>
      <w:r>
        <w:t xml:space="preserve">“</w:t>
      </w:r>
      <w:r>
        <w:t xml:space="preserve">80 nós</w:t>
      </w:r>
      <w:r>
        <w:t xml:space="preserve">”</w:t>
      </w:r>
      <w:r>
        <w:t xml:space="preserve"> </w:t>
      </w:r>
      <w:r>
        <w:t xml:space="preserve">dos Métodos). Resultado:</w:t>
      </w:r>
      <w:r>
        <w:t xml:space="preserve"> </w:t>
      </w:r>
      <w:r>
        <w:rPr>
          <w:bCs/>
          <w:b/>
        </w:rPr>
        <w:t xml:space="preserve">37,5% (ocular) e 42,0% (respiratório)</w:t>
      </w:r>
      <w:r>
        <w:t xml:space="preserve"> </w:t>
      </w:r>
      <w:r>
        <w:rPr>
          <w:bCs/>
          <w:b/>
        </w:rPr>
        <w:t xml:space="preserve">[deste trabalho]</w:t>
      </w:r>
      <w:r>
        <w:t xml:space="preserve">.</w:t>
      </w:r>
    </w:p>
    <w:p>
      <w:pPr>
        <w:pStyle w:val="BodyText"/>
      </w:pPr>
      <w:r>
        <w:rPr>
          <w:bCs/>
          <w:b/>
        </w:rPr>
        <w:t xml:space="preserve">(c) Leave-one-out (exclusão sequencial) [deste trabalho].</w:t>
      </w:r>
      <w:r>
        <w:t xml:space="preserve"> </w:t>
      </w:r>
      <w:r>
        <w:t xml:space="preserve">Reroda o modelo principal k vezes, cada vez sem um estudo. Faixa das estimativas pontuais:</w:t>
      </w:r>
      <w:r>
        <w:t xml:space="preserve"> </w:t>
      </w:r>
      <w:r>
        <w:rPr>
          <w:bCs/>
          <w:b/>
        </w:rPr>
        <w:t xml:space="preserve">ocular 34,3% a 42,1%; respiratório 38,9% a 45,5%</w:t>
      </w:r>
      <w:r>
        <w:t xml:space="preserve">. Nenhum estudo, sozinho, muda a mensagem. Para você saber de onde vêm os extremos [conta minha, a partir do Anexo D]: no ocular, o mínimo (34,3%) ocorre sem Cinar 2022 e o máximo (42,1%) sem Mohd Fikri Rosely 2022; no respiratório, o mínimo (38,9%) ocorre sem Van Giersbergen 2019 e o máximo (45,5%) sem Cinar 2022. Dois desses valores (42,1% e 38,9%) estão explicitamente no manuscrito como análises nomeadas.</w:t>
      </w:r>
    </w:p>
    <w:p>
      <w:pPr>
        <w:pStyle w:val="BodyText"/>
      </w:pPr>
      <w:r>
        <w:rPr>
          <w:bCs/>
          <w:b/>
        </w:rPr>
        <w:t xml:space="preserve">(d) Gráfico de Baujat [deste trabalho, Figura G2, sintoma ocular; leitura = conhecimento geral].</w:t>
      </w:r>
    </w:p>
    <w:p>
      <w:pPr>
        <w:numPr>
          <w:ilvl w:val="0"/>
          <w:numId w:val="1020"/>
        </w:numPr>
        <w:pStyle w:val="Compact"/>
      </w:pPr>
      <w:r>
        <w:rPr>
          <w:iCs/>
          <w:i/>
        </w:rPr>
        <w:t xml:space="preserve">Eixo horizontal:</w:t>
      </w:r>
      <w:r>
        <w:t xml:space="preserve"> </w:t>
      </w:r>
      <w:r>
        <w:t xml:space="preserve">contribuição de cada estudo para a heterogeneidade, isto é, a parcela do Q que ele carrega (os números que calculamos em 6.6).</w:t>
      </w:r>
    </w:p>
    <w:p>
      <w:pPr>
        <w:numPr>
          <w:ilvl w:val="0"/>
          <w:numId w:val="1020"/>
        </w:numPr>
        <w:pStyle w:val="Compact"/>
      </w:pPr>
      <w:r>
        <w:rPr>
          <w:iCs/>
          <w:i/>
        </w:rPr>
        <w:t xml:space="preserve">Eixo vertical:</w:t>
      </w:r>
      <w:r>
        <w:t xml:space="preserve"> </w:t>
      </w:r>
      <w:r>
        <w:t xml:space="preserve">influência do estudo na estimativa combinada, medida pelo quanto a média muda quando ele é retirado, padronizada pela variância.</w:t>
      </w:r>
    </w:p>
    <w:p>
      <w:pPr>
        <w:numPr>
          <w:ilvl w:val="0"/>
          <w:numId w:val="1020"/>
        </w:numPr>
        <w:pStyle w:val="Compact"/>
      </w:pPr>
      <w:r>
        <w:rPr>
          <w:iCs/>
          <w:i/>
        </w:rPr>
        <w:t xml:space="preserve">Leitura:</w:t>
      </w:r>
      <w:r>
        <w:t xml:space="preserve"> </w:t>
      </w:r>
      <w:r>
        <w:t xml:space="preserve">canto inferior esquerdo = estudo</w:t>
      </w:r>
      <w:r>
        <w:t xml:space="preserve"> </w:t>
      </w:r>
      <w:r>
        <w:t xml:space="preserve">“</w:t>
      </w:r>
      <w:r>
        <w:t xml:space="preserve">bem comportado</w:t>
      </w:r>
      <w:r>
        <w:t xml:space="preserve">”</w:t>
      </w:r>
      <w:r>
        <w:t xml:space="preserve">; canto superior direito = estudo que, ao mesmo tempo, destoa dos demais e puxa a média.</w:t>
      </w:r>
    </w:p>
    <w:p>
      <w:pPr>
        <w:pStyle w:val="FirstParagraph"/>
      </w:pPr>
      <w:r>
        <w:t xml:space="preserve">Na Figura G2,</w:t>
      </w:r>
      <w:r>
        <w:t xml:space="preserve"> </w:t>
      </w:r>
      <w:r>
        <w:rPr>
          <w:bCs/>
          <w:b/>
        </w:rPr>
        <w:t xml:space="preserve">Mohd Fikri Rosely 2022</w:t>
      </w:r>
      <w:r>
        <w:t xml:space="preserve"> </w:t>
      </w:r>
      <w:r>
        <w:t xml:space="preserve">(o resumo de congresso, 38/196 = 19,4%) aparece isolado no canto superior direito (contribuição ≈ 25 de um Q total de 67,8; influência ≈ 1,5), e</w:t>
      </w:r>
      <w:r>
        <w:t xml:space="preserve"> </w:t>
      </w:r>
      <w:r>
        <w:rPr>
          <w:bCs/>
          <w:b/>
        </w:rPr>
        <w:t xml:space="preserve">İlçe 2017</w:t>
      </w:r>
      <w:r>
        <w:t xml:space="preserve"> </w:t>
      </w:r>
      <w:r>
        <w:t xml:space="preserve">fica praticamente na origem (contribuição 0,44; influência próxima de zero). Usta 2019, Mohd Fikri Rosely 2019 e Cinar 2022 ficam na faixa intermediária; Bieniek 2022, perto da base. Mensagem: o estudo mais influente é exatamente o de maior preocupação com viés, e é por isso que a sua exclusão era uma análise de sensibilidade pré-especificada. Não há Baujat do respiratório no manuscrito; se perguntarem, diga que o diagnóstico de influência relatado é o do desfecho principal.</w:t>
      </w:r>
    </w:p>
    <w:p>
      <w:pPr>
        <w:pStyle w:val="BodyText"/>
      </w:pPr>
      <w:r>
        <w:rPr>
          <w:bCs/>
          <w:b/>
        </w:rPr>
        <w:t xml:space="preserve">(e) Exclusão do resumo de congresso [deste trabalho].</w:t>
      </w:r>
      <w:r>
        <w:t xml:space="preserve"> </w:t>
      </w:r>
      <w:r>
        <w:t xml:space="preserve">Sem Mohd Fikri Rosely 2022:</w:t>
      </w:r>
      <w:r>
        <w:t xml:space="preserve"> </w:t>
      </w:r>
      <w:r>
        <w:rPr>
          <w:bCs/>
          <w:b/>
        </w:rPr>
        <w:t xml:space="preserve">ocular 42,1% (IC95% 24,8–61,7; I² = 89%; cinco estudos)</w:t>
      </w:r>
      <w:r>
        <w:t xml:space="preserve"> </w:t>
      </w:r>
      <w:r>
        <w:t xml:space="preserve">e</w:t>
      </w:r>
      <w:r>
        <w:t xml:space="preserve"> </w:t>
      </w:r>
      <w:r>
        <w:rPr>
          <w:bCs/>
          <w:b/>
        </w:rPr>
        <w:t xml:space="preserve">respiratório 42,4% (IC95% 28,7–57,5; I² = 90%; seis estudos)</w:t>
      </w:r>
      <w:r>
        <w:t xml:space="preserve">. A estimativa ocular sobe (o resumo era o estudo de menor prevalência), mas a interpretação não muda e a heterogeneidade continua alta. Esse é o seu melhor argumento contra a crítica</w:t>
      </w:r>
      <w:r>
        <w:t xml:space="preserve"> </w:t>
      </w:r>
      <w:r>
        <w:t xml:space="preserve">“</w:t>
      </w:r>
      <w:r>
        <w:t xml:space="preserve">você incluiu um resumo de congresso</w:t>
      </w:r>
      <w:r>
        <w:t xml:space="preserve">”</w:t>
      </w:r>
      <w:r>
        <w:t xml:space="preserve">.</w:t>
      </w:r>
    </w:p>
    <w:p>
      <w:pPr>
        <w:pStyle w:val="BodyText"/>
      </w:pPr>
      <w:r>
        <w:rPr>
          <w:bCs/>
          <w:b/>
        </w:rPr>
        <w:t xml:space="preserve">(f) Definições específicas do sintoma [deste trabalho].</w:t>
      </w:r>
    </w:p>
    <w:p>
      <w:pPr>
        <w:numPr>
          <w:ilvl w:val="0"/>
          <w:numId w:val="1021"/>
        </w:numPr>
        <w:pStyle w:val="Compact"/>
      </w:pPr>
      <w:r>
        <w:t xml:space="preserve">Respiratório, excluindo Van Giersbergen 2019 (</w:t>
      </w:r>
      <w:r>
        <w:t xml:space="preserve">“</w:t>
      </w:r>
      <w:r>
        <w:t xml:space="preserve">qualquer sintoma de vias aéreas superiores</w:t>
      </w:r>
      <w:r>
        <w:t xml:space="preserve">”</w:t>
      </w:r>
      <w:r>
        <w:t xml:space="preserve">, 385/672) e Bieniek 2022 (escala por sistema):</w:t>
      </w:r>
      <w:r>
        <w:t xml:space="preserve"> </w:t>
      </w:r>
      <w:r>
        <w:rPr>
          <w:bCs/>
          <w:b/>
        </w:rPr>
        <w:t xml:space="preserve">35,8% (IC95% 25,8–47,2), I² cai de 91% para 61%, cinco estudos</w:t>
      </w:r>
      <w:r>
        <w:t xml:space="preserve">. Esta é a análise mais informativa do trabalho sobre a</w:t>
      </w:r>
      <w:r>
        <w:t xml:space="preserve"> </w:t>
      </w:r>
      <w:r>
        <w:rPr>
          <w:iCs/>
          <w:i/>
        </w:rPr>
        <w:t xml:space="preserve">origem</w:t>
      </w:r>
      <w:r>
        <w:t xml:space="preserve"> </w:t>
      </w:r>
      <w:r>
        <w:t xml:space="preserve">da heterogeneidade: boa parte dela é definição do desfecho, não acaso.</w:t>
      </w:r>
    </w:p>
    <w:p>
      <w:pPr>
        <w:numPr>
          <w:ilvl w:val="0"/>
          <w:numId w:val="1021"/>
        </w:numPr>
        <w:pStyle w:val="Compact"/>
      </w:pPr>
      <w:r>
        <w:t xml:space="preserve">Respiratório, excluindo apenas Van Giersbergen:</w:t>
      </w:r>
      <w:r>
        <w:t xml:space="preserve"> </w:t>
      </w:r>
      <w:r>
        <w:rPr>
          <w:bCs/>
          <w:b/>
        </w:rPr>
        <w:t xml:space="preserve">38,9%</w:t>
      </w:r>
      <w:r>
        <w:t xml:space="preserve">.</w:t>
      </w:r>
    </w:p>
    <w:p>
      <w:pPr>
        <w:numPr>
          <w:ilvl w:val="0"/>
          <w:numId w:val="1021"/>
        </w:numPr>
        <w:pStyle w:val="Compact"/>
      </w:pPr>
      <w:r>
        <w:t xml:space="preserve">Ocular, excluindo Bieniek 2022 (categoria mais ampla):</w:t>
      </w:r>
      <w:r>
        <w:t xml:space="preserve"> </w:t>
      </w:r>
      <w:r>
        <w:rPr>
          <w:bCs/>
          <w:b/>
        </w:rPr>
        <w:t xml:space="preserve">36,5%, I² = 94%</w:t>
      </w:r>
      <w:r>
        <w:t xml:space="preserve">. Aqui a heterogeneidade não cai, o que mostra que, no ocular, ela não depende de um estudo só.</w:t>
      </w:r>
    </w:p>
    <w:p>
      <w:pPr>
        <w:pStyle w:val="FirstParagraph"/>
      </w:pPr>
      <w:r>
        <w:rPr>
          <w:bCs/>
          <w:b/>
        </w:rPr>
        <w:t xml:space="preserve">(g) Subgrupo por país [deste trabalho, Figura G1 e Anexo 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Estrato</w:t>
            </w:r>
          </w:p>
        </w:tc>
        <w:tc>
          <w:tcPr/>
          <w:p>
            <w:pPr>
              <w:pStyle w:val="Compact"/>
              <w:jc w:val="left"/>
            </w:pPr>
            <w:r>
              <w:t xml:space="preserve">k</w:t>
            </w:r>
          </w:p>
        </w:tc>
        <w:tc>
          <w:tcPr/>
          <w:p>
            <w:pPr>
              <w:pStyle w:val="Compact"/>
              <w:jc w:val="left"/>
            </w:pPr>
            <w:r>
              <w:t xml:space="preserve">n</w:t>
            </w:r>
          </w:p>
        </w:tc>
        <w:tc>
          <w:tcPr/>
          <w:p>
            <w:pPr>
              <w:pStyle w:val="Compact"/>
              <w:jc w:val="left"/>
            </w:pPr>
            <w:r>
              <w:t xml:space="preserve">Prevalência ocular</w:t>
            </w:r>
          </w:p>
        </w:tc>
        <w:tc>
          <w:tcPr/>
          <w:p>
            <w:pPr>
              <w:pStyle w:val="Compact"/>
              <w:jc w:val="left"/>
            </w:pPr>
            <w:r>
              <w:t xml:space="preserve">I² dentro do estrato</w:t>
            </w:r>
          </w:p>
        </w:tc>
      </w:tr>
      <w:tr>
        <w:tc>
          <w:tcPr/>
          <w:p>
            <w:pPr>
              <w:pStyle w:val="Compact"/>
              <w:jc w:val="left"/>
            </w:pPr>
            <w:r>
              <w:t xml:space="preserve">Turquia</w:t>
            </w:r>
          </w:p>
        </w:tc>
        <w:tc>
          <w:tcPr/>
          <w:p>
            <w:pPr>
              <w:pStyle w:val="Compact"/>
              <w:jc w:val="left"/>
            </w:pPr>
            <w:r>
              <w:t xml:space="preserve">3</w:t>
            </w:r>
          </w:p>
        </w:tc>
        <w:tc>
          <w:tcPr/>
          <w:p>
            <w:pPr>
              <w:pStyle w:val="Compact"/>
              <w:jc w:val="left"/>
            </w:pPr>
            <w:r>
              <w:t xml:space="preserve">268</w:t>
            </w:r>
          </w:p>
        </w:tc>
        <w:tc>
          <w:tcPr/>
          <w:p>
            <w:pPr>
              <w:pStyle w:val="Compact"/>
              <w:jc w:val="left"/>
            </w:pPr>
            <w:r>
              <w:t xml:space="preserve">50,5% (IC95% 31–70)</w:t>
            </w:r>
          </w:p>
        </w:tc>
        <w:tc>
          <w:tcPr/>
          <w:p>
            <w:pPr>
              <w:pStyle w:val="Compact"/>
              <w:jc w:val="left"/>
            </w:pPr>
            <w:r>
              <w:t xml:space="preserve">57%</w:t>
            </w:r>
          </w:p>
        </w:tc>
      </w:tr>
      <w:tr>
        <w:tc>
          <w:tcPr/>
          <w:p>
            <w:pPr>
              <w:pStyle w:val="Compact"/>
              <w:jc w:val="left"/>
            </w:pPr>
            <w:r>
              <w:t xml:space="preserve">Malásia</w:t>
            </w:r>
          </w:p>
        </w:tc>
        <w:tc>
          <w:tcPr/>
          <w:p>
            <w:pPr>
              <w:pStyle w:val="Compact"/>
              <w:jc w:val="left"/>
            </w:pPr>
            <w:r>
              <w:t xml:space="preserve">2</w:t>
            </w:r>
          </w:p>
        </w:tc>
        <w:tc>
          <w:tcPr/>
          <w:p>
            <w:pPr>
              <w:pStyle w:val="Compact"/>
              <w:jc w:val="left"/>
            </w:pPr>
            <w:r>
              <w:t xml:space="preserve">333</w:t>
            </w:r>
          </w:p>
        </w:tc>
        <w:tc>
          <w:tcPr/>
          <w:p>
            <w:pPr>
              <w:pStyle w:val="Compact"/>
              <w:jc w:val="left"/>
            </w:pPr>
            <w:r>
              <w:t xml:space="preserve">19,8% (IC95% 14–27)</w:t>
            </w:r>
          </w:p>
        </w:tc>
        <w:tc>
          <w:tcPr/>
          <w:p>
            <w:pPr>
              <w:pStyle w:val="Compact"/>
              <w:jc w:val="left"/>
            </w:pPr>
            <w:r>
              <w:t xml:space="preserve">0%</w:t>
            </w:r>
          </w:p>
        </w:tc>
      </w:tr>
      <w:tr>
        <w:tc>
          <w:tcPr/>
          <w:p>
            <w:pPr>
              <w:pStyle w:val="Compact"/>
              <w:jc w:val="left"/>
            </w:pPr>
            <w:r>
              <w:t xml:space="preserve">Brasil</w:t>
            </w:r>
          </w:p>
        </w:tc>
        <w:tc>
          <w:tcPr/>
          <w:p>
            <w:pPr>
              <w:pStyle w:val="Compact"/>
              <w:jc w:val="left"/>
            </w:pPr>
            <w:r>
              <w:t xml:space="preserve">1</w:t>
            </w:r>
          </w:p>
        </w:tc>
        <w:tc>
          <w:tcPr/>
          <w:p>
            <w:pPr>
              <w:pStyle w:val="Compact"/>
              <w:jc w:val="left"/>
            </w:pPr>
            <w:r>
              <w:t xml:space="preserve">155</w:t>
            </w:r>
          </w:p>
        </w:tc>
        <w:tc>
          <w:tcPr/>
          <w:p>
            <w:pPr>
              <w:pStyle w:val="Compact"/>
              <w:jc w:val="left"/>
            </w:pPr>
            <w:r>
              <w:t xml:space="preserve">43,2% (descritivo)</w:t>
            </w:r>
          </w:p>
        </w:tc>
        <w:tc>
          <w:tcPr/>
          <w:p>
            <w:pPr>
              <w:pStyle w:val="Compact"/>
              <w:jc w:val="left"/>
            </w:pPr>
            <w:r>
              <w:t xml:space="preserve">não se aplica</w:t>
            </w:r>
          </w:p>
        </w:tc>
      </w:tr>
    </w:tbl>
    <w:p>
      <w:pPr>
        <w:pStyle w:val="BodyText"/>
      </w:pPr>
      <w:r>
        <w:t xml:space="preserve">Teste Q de diferença entre subgrupos (Turquia vs. Malásia; 1 grau de liberdade):</w:t>
      </w:r>
      <w:r>
        <w:t xml:space="preserve"> </w:t>
      </w:r>
      <w:r>
        <w:rPr>
          <w:bCs/>
          <w:b/>
        </w:rPr>
        <w:t xml:space="preserve">p &lt; 0,001</w:t>
      </w:r>
      <w:r>
        <w:t xml:space="preserve">. O teste funciona como um Q</w:t>
      </w:r>
      <w:r>
        <w:t xml:space="preserve"> </w:t>
      </w:r>
      <w:r>
        <w:t xml:space="preserve">“</w:t>
      </w:r>
      <w:r>
        <w:t xml:space="preserve">entre grupos</w:t>
      </w:r>
      <w:r>
        <w:t xml:space="preserve">”</w:t>
      </w:r>
      <w:r>
        <w:t xml:space="preserve">: compara as duas médias de subgrupo ponderadas pelas suas variâncias e pergunta se a diferença é compatível com acaso [conhecimento geral].</w:t>
      </w:r>
    </w:p>
    <w:p>
      <w:pPr>
        <w:pStyle w:val="BodyText"/>
      </w:pPr>
      <w:r>
        <w:rPr>
          <w:iCs/>
          <w:i/>
        </w:rPr>
        <w:t xml:space="preserve">Por que é exploratória e não prova de moderação [deste trabalho + conhecimento geral]:</w:t>
      </w:r>
    </w:p>
    <w:p>
      <w:pPr>
        <w:numPr>
          <w:ilvl w:val="0"/>
          <w:numId w:val="1022"/>
        </w:numPr>
        <w:pStyle w:val="Compact"/>
      </w:pPr>
      <w:r>
        <w:t xml:space="preserve">Dois estudos na Malásia, um deles resumo de congresso e ambos do mesmo primeiro autor; sem o resumo, o estrato vira um único estudo.</w:t>
      </w:r>
    </w:p>
    <w:p>
      <w:pPr>
        <w:numPr>
          <w:ilvl w:val="0"/>
          <w:numId w:val="1022"/>
        </w:numPr>
        <w:pStyle w:val="Compact"/>
      </w:pPr>
      <w:r>
        <w:t xml:space="preserve">Com k = 2, o HKSJ usa t(1) = 12,7 [conta minha], ou seja, o IC do estrato malaio é frágil por construção.</w:t>
      </w:r>
    </w:p>
    <w:p>
      <w:pPr>
        <w:numPr>
          <w:ilvl w:val="0"/>
          <w:numId w:val="1022"/>
        </w:numPr>
        <w:pStyle w:val="Compact"/>
      </w:pPr>
      <w:r>
        <w:t xml:space="preserve">Comparação entre estudos é observacional e ecológica:</w:t>
      </w:r>
      <w:r>
        <w:t xml:space="preserve"> </w:t>
      </w:r>
      <w:r>
        <w:t xml:space="preserve">“</w:t>
      </w:r>
      <w:r>
        <w:t xml:space="preserve">país</w:t>
      </w:r>
      <w:r>
        <w:t xml:space="preserve">”</w:t>
      </w:r>
      <w:r>
        <w:t xml:space="preserve"> </w:t>
      </w:r>
      <w:r>
        <w:t xml:space="preserve">carrega junto definição do sintoma, instrumento, uso de exaustor e máscara, tipo de bisturi. O manuscrito é explícito:</w:t>
      </w:r>
      <w:r>
        <w:t xml:space="preserve"> </w:t>
      </w:r>
      <w:r>
        <w:t xml:space="preserve">“</w:t>
      </w:r>
      <w:r>
        <w:t xml:space="preserve">não deve ser interpretado como evidência de moderação causal</w:t>
      </w:r>
      <w:r>
        <w:t xml:space="preserve">”</w:t>
      </w:r>
      <w:r>
        <w:t xml:space="preserve"> </w:t>
      </w:r>
      <w:r>
        <w:t xml:space="preserve">e</w:t>
      </w:r>
      <w:r>
        <w:t xml:space="preserve"> </w:t>
      </w:r>
      <w:r>
        <w:t xml:space="preserve">“</w:t>
      </w:r>
      <w:r>
        <w:t xml:space="preserve">geradora de hipótese</w:t>
      </w:r>
      <w:r>
        <w:t xml:space="preserve">”</w:t>
      </w:r>
      <w:r>
        <w:t xml:space="preserve">.</w:t>
      </w:r>
    </w:p>
    <w:p>
      <w:pPr>
        <w:numPr>
          <w:ilvl w:val="0"/>
          <w:numId w:val="1022"/>
        </w:numPr>
        <w:pStyle w:val="Compact"/>
      </w:pPr>
      <w:r>
        <w:t xml:space="preserve">A análise foi definida como exploratória no registro posterior (seção</w:t>
      </w:r>
      <w:r>
        <w:t xml:space="preserve"> </w:t>
      </w:r>
      <w:r>
        <w:t xml:space="preserve">“</w:t>
      </w:r>
      <w:r>
        <w:t xml:space="preserve">Decisões posteriores ao registro</w:t>
      </w:r>
      <w:r>
        <w:t xml:space="preserve">”</w:t>
      </w:r>
      <w:r>
        <w:t xml:space="preserve">), o que protege você da acusação de</w:t>
      </w:r>
      <w:r>
        <w:t xml:space="preserve"> </w:t>
      </w:r>
      <w:r>
        <w:t xml:space="preserve">“</w:t>
      </w:r>
      <w:r>
        <w:t xml:space="preserve">pescar</w:t>
      </w:r>
      <w:r>
        <w:t xml:space="preserve">”</w:t>
      </w:r>
      <w:r>
        <w:t xml:space="preserve"> </w:t>
      </w:r>
      <w:r>
        <w:t xml:space="preserve">subgrupos.</w:t>
      </w:r>
    </w:p>
    <w:bookmarkEnd w:id="73"/>
    <w:bookmarkStart w:id="74" w:name="o-que-você-decidiu-não-fazer-e-por-quê"/>
    <w:p>
      <w:pPr>
        <w:pStyle w:val="Heading3"/>
      </w:pPr>
      <w:r>
        <w:t xml:space="preserve">6.9 O que você decidiu NÃO fazer, e por quê</w:t>
      </w:r>
    </w:p>
    <w:p>
      <w:pPr>
        <w:pStyle w:val="FirstParagraph"/>
      </w:pPr>
      <w:r>
        <w:rPr>
          <w:bCs/>
          <w:b/>
        </w:rPr>
        <w:t xml:space="preserve">Gráfico de funil e teste de Egger [deste trabalho, Métodos e nota da Figura G3].</w:t>
      </w:r>
      <w:r>
        <w:t xml:space="preserve"> </w:t>
      </w:r>
      <w:r>
        <w:t xml:space="preserve">Dois motivos, e os dois são suficientes sozinhos:</w:t>
      </w:r>
    </w:p>
    <w:p>
      <w:pPr>
        <w:numPr>
          <w:ilvl w:val="0"/>
          <w:numId w:val="1023"/>
        </w:numPr>
        <w:pStyle w:val="Compact"/>
      </w:pPr>
      <w:r>
        <w:rPr>
          <w:iCs/>
          <w:i/>
        </w:rPr>
        <w:t xml:space="preserve">Assimetria espúria.</w:t>
      </w:r>
      <w:r>
        <w:t xml:space="preserve"> </w:t>
      </w:r>
      <w:r>
        <w:t xml:space="preserve">O funil coloca o erro-padrão no eixo vertical. Em proporção, EP = √[p(1−p)/n] depende da própria proporção: estudos com p perto de 0% ou 100% têm EP pequeno automaticamente, independentemente de n. Isso cria uma correlação artificial entre estimativa e precisão, e o funil fica assimétrico sem nenhum viés de publicação. O teste de Egger, que é uma regressão da estimativa sobre o EP, herda o problema.</w:t>
      </w:r>
    </w:p>
    <w:p>
      <w:pPr>
        <w:numPr>
          <w:ilvl w:val="0"/>
          <w:numId w:val="1023"/>
        </w:numPr>
        <w:pStyle w:val="Compact"/>
      </w:pPr>
      <w:r>
        <w:rPr>
          <w:iCs/>
          <w:i/>
        </w:rPr>
        <w:t xml:space="preserve">Poder.</w:t>
      </w:r>
      <w:r>
        <w:t xml:space="preserve"> </w:t>
      </w:r>
      <w:r>
        <w:t xml:space="preserve">Os testes de assimetria exigem pelo menos dez estudos [conhecimento geral: recomendação do Cochrane Handbook]; você tem 6 e 7.</w:t>
      </w:r>
    </w:p>
    <w:p>
      <w:pPr>
        <w:pStyle w:val="FirstParagraph"/>
      </w:pPr>
      <w:r>
        <w:t xml:space="preserve">O que você fez no lugar: a Figura G3 mostra a dispersão da prevalência pelo</w:t>
      </w:r>
      <w:r>
        <w:t xml:space="preserve"> </w:t>
      </w:r>
      <w:r>
        <w:rPr>
          <w:iCs/>
          <w:i/>
        </w:rPr>
        <w:t xml:space="preserve">tamanho amostral</w:t>
      </w:r>
      <w:r>
        <w:t xml:space="preserve"> </w:t>
      </w:r>
      <w:r>
        <w:t xml:space="preserve">(não pelo EP), sem teste formal, e o viés de relato foi apreciado qualitativamente (busca ampla, seis relatórios não recuperados, predomínio de estudos pequenos), sem rebaixamento no GRADE porque</w:t>
      </w:r>
      <w:r>
        <w:t xml:space="preserve"> </w:t>
      </w:r>
      <w:r>
        <w:t xml:space="preserve">“</w:t>
      </w:r>
      <w:r>
        <w:t xml:space="preserve">não houve base suficiente</w:t>
      </w:r>
      <w:r>
        <w:t xml:space="preserve">”</w:t>
      </w:r>
      <w:r>
        <w:t xml:space="preserve"> </w:t>
      </w:r>
      <w:r>
        <w:rPr>
          <w:bCs/>
          <w:b/>
        </w:rPr>
        <w:t xml:space="preserve">[deste trabalho]</w:t>
      </w:r>
      <w:r>
        <w:t xml:space="preserve">.</w:t>
      </w:r>
    </w:p>
    <w:p>
      <w:pPr>
        <w:pStyle w:val="BodyText"/>
      </w:pPr>
      <w:r>
        <w:rPr>
          <w:bCs/>
          <w:b/>
        </w:rPr>
        <w:t xml:space="preserve">Metarregressão [deste trabalho].</w:t>
      </w:r>
      <w:r>
        <w:t xml:space="preserve"> </w:t>
      </w:r>
      <w:r>
        <w:t xml:space="preserve">“</w:t>
      </w:r>
      <w:r>
        <w:t xml:space="preserve">Não se realizou metarregressão, dado o número insuficiente de estudos por covariável.</w:t>
      </w:r>
      <w:r>
        <w:t xml:space="preserve">”</w:t>
      </w:r>
      <w:r>
        <w:t xml:space="preserve"> </w:t>
      </w:r>
      <w:r>
        <w:t xml:space="preserve">A regra prática [conhecimento geral] é cerca de dez estudos por covariável; com 6 e 7 estudos, qualquer metarregressão teria poder quase nulo e alto risco de achado espúrio. O subgrupo por país exploratório é o máximo que o dado permite.</w:t>
      </w:r>
    </w:p>
    <w:bookmarkEnd w:id="74"/>
    <w:bookmarkStart w:id="75" w:name="X4eab9fcc93918c78188abe78c799a85e6666e21"/>
    <w:p>
      <w:pPr>
        <w:pStyle w:val="Heading3"/>
      </w:pPr>
      <w:r>
        <w:t xml:space="preserve">6.10 O risco relativo pelo método de Wald na escala logarítmica</w:t>
      </w:r>
    </w:p>
    <w:p>
      <w:pPr>
        <w:pStyle w:val="FirstParagraph"/>
      </w:pPr>
      <w:r>
        <w:t xml:space="preserve">Esse cálculo é dos desfechos objetivos, não da metanálise de proporção, mas a banca pode pedir, porque o manuscrito diz que as medidas</w:t>
      </w:r>
      <w:r>
        <w:t xml:space="preserve"> </w:t>
      </w:r>
      <w:r>
        <w:t xml:space="preserve">“</w:t>
      </w:r>
      <w:r>
        <w:t xml:space="preserve">foram calculadas pelos autores a partir das tabelas de contingência</w:t>
      </w:r>
      <w:r>
        <w:t xml:space="preserve">”</w:t>
      </w:r>
      <w:r>
        <w:t xml:space="preserve">.</w:t>
      </w:r>
    </w:p>
    <w:p>
      <w:pPr>
        <w:pStyle w:val="BodyText"/>
      </w:pPr>
      <w:r>
        <w:rPr>
          <w:bCs/>
          <w:b/>
        </w:rPr>
        <w:t xml:space="preserve">Tabela 2 × 2 de Navarro et al., 2016 [deste trabalho]:</w:t>
      </w:r>
      <w:r>
        <w:t xml:space="preserve"> </w:t>
      </w:r>
      <w:r>
        <w:t xml:space="preserve">metaplasia ou hiperplasia nasal em 16 de 23 expostos e em 1 de 20 não expostos.</w:t>
      </w:r>
    </w:p>
    <w:p>
      <w:pPr>
        <w:pStyle w:val="BodyText"/>
      </w:pPr>
      <w:r>
        <w:rPr>
          <w:bCs/>
          <w:b/>
        </w:rPr>
        <w:t xml:space="preserve">Passo a passo [conta minha, reproduz o manuscrito]:</w:t>
      </w:r>
    </w:p>
    <w:p>
      <w:pPr>
        <w:numPr>
          <w:ilvl w:val="0"/>
          <w:numId w:val="1024"/>
        </w:numPr>
        <w:pStyle w:val="Compact"/>
      </w:pPr>
      <w:r>
        <w:t xml:space="preserve">Riscos: expostos = 16/23 = 0,696 (70%); não expostos = 1/20 = 0,050 (5%).</w:t>
      </w:r>
    </w:p>
    <w:p>
      <w:pPr>
        <w:numPr>
          <w:ilvl w:val="0"/>
          <w:numId w:val="1024"/>
        </w:numPr>
        <w:pStyle w:val="Compact"/>
      </w:pPr>
      <w:r>
        <w:t xml:space="preserve">RR = 0,696/0,050 =</w:t>
      </w:r>
      <w:r>
        <w:t xml:space="preserve"> </w:t>
      </w:r>
      <w:r>
        <w:rPr>
          <w:bCs/>
          <w:b/>
        </w:rPr>
        <w:t xml:space="preserve">13,9</w:t>
      </w:r>
      <w:r>
        <w:t xml:space="preserve">.</w:t>
      </w:r>
    </w:p>
    <w:p>
      <w:pPr>
        <w:numPr>
          <w:ilvl w:val="0"/>
          <w:numId w:val="1024"/>
        </w:numPr>
        <w:pStyle w:val="Compact"/>
      </w:pPr>
      <w:r>
        <w:t xml:space="preserve">Vai para a escala log, porque o RR é limitado em zero e assimétrico, e o ln(RR) é aproximadamente normal: ln(13,9) = 2,633.</w:t>
      </w:r>
    </w:p>
    <w:p>
      <w:pPr>
        <w:numPr>
          <w:ilvl w:val="0"/>
          <w:numId w:val="1024"/>
        </w:numPr>
        <w:pStyle w:val="Compact"/>
      </w:pPr>
      <w:r>
        <w:t xml:space="preserve">Erro-padrão de Wald do ln(RR):</w:t>
      </w:r>
    </w:p>
    <w:p>
      <w:pPr>
        <w:pStyle w:val="SourceCode"/>
      </w:pPr>
      <w:r>
        <w:rPr>
          <w:rStyle w:val="VerbatimChar"/>
        </w:rPr>
        <w:t xml:space="preserve">EP = √( 1/a − 1/(a+b) + 1/c − 1/(c+d) )</w:t>
      </w:r>
      <w:r>
        <w:br/>
      </w:r>
      <w:r>
        <w:rPr>
          <w:rStyle w:val="VerbatimChar"/>
        </w:rPr>
        <w:t xml:space="preserve">   = √( 1/16 − 1/23 + 1/1 − 1/20 )</w:t>
      </w:r>
      <w:r>
        <w:br/>
      </w:r>
      <w:r>
        <w:rPr>
          <w:rStyle w:val="VerbatimChar"/>
        </w:rPr>
        <w:t xml:space="preserve">   = √( 0,0625 − 0,0435 + 1,0000 − 0,0500 ) = √0,969 = 0,984</w:t>
      </w:r>
    </w:p>
    <w:p>
      <w:pPr>
        <w:numPr>
          <w:ilvl w:val="0"/>
          <w:numId w:val="1025"/>
        </w:numPr>
        <w:pStyle w:val="Compact"/>
      </w:pPr>
      <w:r>
        <w:t xml:space="preserve">IC na escala log: 2,633 ± 1,96 × 0,984 = [0,704; 4,562].</w:t>
      </w:r>
    </w:p>
    <w:p>
      <w:pPr>
        <w:numPr>
          <w:ilvl w:val="0"/>
          <w:numId w:val="1025"/>
        </w:numPr>
        <w:pStyle w:val="Compact"/>
      </w:pPr>
      <w:r>
        <w:t xml:space="preserve">Exponenciando: e^0,704 =</w:t>
      </w:r>
      <w:r>
        <w:t xml:space="preserve"> </w:t>
      </w:r>
      <w:r>
        <w:rPr>
          <w:bCs/>
          <w:b/>
        </w:rPr>
        <w:t xml:space="preserve">2,0</w:t>
      </w:r>
      <w:r>
        <w:t xml:space="preserve">; e^4,562 =</w:t>
      </w:r>
      <w:r>
        <w:t xml:space="preserve"> </w:t>
      </w:r>
      <w:r>
        <w:rPr>
          <w:bCs/>
          <w:b/>
        </w:rPr>
        <w:t xml:space="preserve">95,8</w:t>
      </w:r>
      <w:r>
        <w:t xml:space="preserve">.</w:t>
      </w:r>
    </w:p>
    <w:p>
      <w:pPr>
        <w:pStyle w:val="FirstParagraph"/>
      </w:pPr>
      <w:r>
        <w:t xml:space="preserve">Resultado:</w:t>
      </w:r>
      <w:r>
        <w:t xml:space="preserve"> </w:t>
      </w:r>
      <w:r>
        <w:rPr>
          <w:bCs/>
          <w:b/>
        </w:rPr>
        <w:t xml:space="preserve">RR 13,9; IC95% 2,0–95,8</w:t>
      </w:r>
      <w:r>
        <w:t xml:space="preserve"> </w:t>
      </w:r>
      <w:r>
        <w:rPr>
          <w:bCs/>
          <w:b/>
        </w:rPr>
        <w:t xml:space="preserve">[deste trabalho, Tabela 3]</w:t>
      </w:r>
      <w:r>
        <w:t xml:space="preserve">. Veja o termo 1/c = 1/1 = 1,000: o único evento no grupo não exposto responde por quase toda a variância (0,969). É exatamente o que o manuscrito diz:</w:t>
      </w:r>
      <w:r>
        <w:t xml:space="preserve"> </w:t>
      </w:r>
      <w:r>
        <w:t xml:space="preserve">“</w:t>
      </w:r>
      <w:r>
        <w:t xml:space="preserve">o intervalo de confiança amplo reflete o pequeno número de casos no grupo não exposto</w:t>
      </w:r>
      <w:r>
        <w:t xml:space="preserve">”</w:t>
      </w:r>
      <w:r>
        <w:t xml:space="preserve">.</w:t>
      </w:r>
    </w:p>
    <w:p>
      <w:pPr>
        <w:pStyle w:val="BodyText"/>
      </w:pPr>
      <w:r>
        <w:t xml:space="preserve">Mesmo método para Hu et al., 2021 [conta minha]: 42/469 (8,96%) vs 4/231 (1,73%); RR = 5,17; EP = √(1/42 − 1/469 + 1/4 − 1/231) = 0,517; IC = e^(1,643 ± 1,013) →</w:t>
      </w:r>
      <w:r>
        <w:t xml:space="preserve"> </w:t>
      </w:r>
      <w:r>
        <w:rPr>
          <w:bCs/>
          <w:b/>
        </w:rPr>
        <w:t xml:space="preserve">RR 5,2; IC95% 1,9–14,2</w:t>
      </w:r>
      <w:r>
        <w:t xml:space="preserve"> </w:t>
      </w:r>
      <w:r>
        <w:rPr>
          <w:bCs/>
          <w:b/>
        </w:rPr>
        <w:t xml:space="preserve">[deste trabalho]</w:t>
      </w:r>
      <w:r>
        <w:t xml:space="preserve">.</w:t>
      </w:r>
    </w:p>
    <w:bookmarkEnd w:id="75"/>
    <w:bookmarkStart w:id="76" w:name="Xad96c97cefa698562df9acc4eb887d32c0d5d6a"/>
    <w:p>
      <w:pPr>
        <w:pStyle w:val="Heading3"/>
      </w:pPr>
      <w:r>
        <w:t xml:space="preserve">6.11 Os resultados são concordantes entre modelos</w:t>
      </w:r>
    </w:p>
    <w:p>
      <w:pPr>
        <w:pStyle w:val="FirstParagraph"/>
      </w:pPr>
      <w:r>
        <w:t xml:space="preserve">Este é o quadro que você deve ter memorizado, porque ele é a resposta para</w:t>
      </w:r>
      <w:r>
        <w:t xml:space="preserve"> </w:t>
      </w:r>
      <w:r>
        <w:t xml:space="preserve">“</w:t>
      </w:r>
      <w:r>
        <w:t xml:space="preserve">e se você tivesse escolhido outro método?</w:t>
      </w:r>
      <w:r>
        <w:t xml:space="preserv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Análise</w:t>
            </w:r>
          </w:p>
        </w:tc>
        <w:tc>
          <w:tcPr/>
          <w:p>
            <w:pPr>
              <w:pStyle w:val="Compact"/>
              <w:jc w:val="left"/>
            </w:pPr>
            <w:r>
              <w:t xml:space="preserve">Sintoma ocular (k = 6)</w:t>
            </w:r>
          </w:p>
        </w:tc>
        <w:tc>
          <w:tcPr/>
          <w:p>
            <w:pPr>
              <w:pStyle w:val="Compact"/>
              <w:jc w:val="left"/>
            </w:pPr>
            <w:r>
              <w:t xml:space="preserve">Sintoma respiratório (k = 7)</w:t>
            </w:r>
          </w:p>
        </w:tc>
        <w:tc>
          <w:tcPr/>
          <w:p>
            <w:pPr>
              <w:pStyle w:val="Compact"/>
              <w:jc w:val="left"/>
            </w:pPr>
            <w:r>
              <w:t xml:space="preserve">Fonte</w:t>
            </w:r>
          </w:p>
        </w:tc>
      </w:tr>
      <w:tr>
        <w:tc>
          <w:tcPr/>
          <w:p>
            <w:pPr>
              <w:pStyle w:val="Compact"/>
              <w:jc w:val="left"/>
            </w:pPr>
            <w:r>
              <w:rPr>
                <w:bCs/>
                <w:b/>
              </w:rPr>
              <w:t xml:space="preserve">Principal:</w:t>
            </w:r>
            <w:r>
              <w:t xml:space="preserve"> </w:t>
            </w:r>
            <w:r>
              <w:t xml:space="preserve">logito + Paule-Mandel + HKSJ</w:t>
            </w:r>
          </w:p>
        </w:tc>
        <w:tc>
          <w:tcPr/>
          <w:p>
            <w:pPr>
              <w:pStyle w:val="Compact"/>
              <w:jc w:val="left"/>
            </w:pPr>
            <w:r>
              <w:rPr>
                <w:bCs/>
                <w:b/>
              </w:rPr>
              <w:t xml:space="preserve">37,6%</w:t>
            </w:r>
            <w:r>
              <w:t xml:space="preserve"> </w:t>
            </w:r>
            <w:r>
              <w:t xml:space="preserve">(IC95% 21,9–56,5; IP 7–83%)</w:t>
            </w:r>
          </w:p>
        </w:tc>
        <w:tc>
          <w:tcPr/>
          <w:p>
            <w:pPr>
              <w:pStyle w:val="Compact"/>
              <w:jc w:val="left"/>
            </w:pPr>
            <w:r>
              <w:rPr>
                <w:bCs/>
                <w:b/>
              </w:rPr>
              <w:t xml:space="preserve">41,7%</w:t>
            </w:r>
            <w:r>
              <w:t xml:space="preserve"> </w:t>
            </w:r>
            <w:r>
              <w:t xml:space="preserve">(IC95% 30,4–53,9; IP 15–74%)</w:t>
            </w:r>
          </w:p>
        </w:tc>
        <w:tc>
          <w:tcPr/>
          <w:p>
            <w:pPr>
              <w:pStyle w:val="Compact"/>
              <w:jc w:val="left"/>
            </w:pPr>
            <w:r>
              <w:t xml:space="preserve">Resumo; Figs. 2 e 3</w:t>
            </w:r>
          </w:p>
        </w:tc>
      </w:tr>
      <w:tr>
        <w:tc>
          <w:tcPr/>
          <w:p>
            <w:pPr>
              <w:pStyle w:val="Compact"/>
              <w:jc w:val="left"/>
            </w:pPr>
            <w:r>
              <w:t xml:space="preserve">Freeman-Tukey + DerSimonian-Laird</w:t>
            </w:r>
          </w:p>
        </w:tc>
        <w:tc>
          <w:tcPr/>
          <w:p>
            <w:pPr>
              <w:pStyle w:val="Compact"/>
              <w:jc w:val="left"/>
            </w:pPr>
            <w:r>
              <w:t xml:space="preserve">38,1%</w:t>
            </w:r>
          </w:p>
        </w:tc>
        <w:tc>
          <w:tcPr/>
          <w:p>
            <w:pPr>
              <w:pStyle w:val="Compact"/>
              <w:jc w:val="left"/>
            </w:pPr>
            <w:r>
              <w:t xml:space="preserve">41,7%</w:t>
            </w:r>
          </w:p>
        </w:tc>
        <w:tc>
          <w:tcPr/>
          <w:p>
            <w:pPr>
              <w:pStyle w:val="Compact"/>
              <w:jc w:val="left"/>
            </w:pPr>
            <w:r>
              <w:t xml:space="preserve">Resultados</w:t>
            </w:r>
          </w:p>
        </w:tc>
      </w:tr>
      <w:tr>
        <w:tc>
          <w:tcPr/>
          <w:p>
            <w:pPr>
              <w:pStyle w:val="Compact"/>
              <w:jc w:val="left"/>
            </w:pPr>
            <w:r>
              <w:t xml:space="preserve">GLMM logístico de intercepto aleatório</w:t>
            </w:r>
          </w:p>
        </w:tc>
        <w:tc>
          <w:tcPr/>
          <w:p>
            <w:pPr>
              <w:pStyle w:val="Compact"/>
              <w:jc w:val="left"/>
            </w:pPr>
            <w:r>
              <w:t xml:space="preserve">37,5%</w:t>
            </w:r>
          </w:p>
        </w:tc>
        <w:tc>
          <w:tcPr/>
          <w:p>
            <w:pPr>
              <w:pStyle w:val="Compact"/>
              <w:jc w:val="left"/>
            </w:pPr>
            <w:r>
              <w:t xml:space="preserve">42,0%</w:t>
            </w:r>
          </w:p>
        </w:tc>
        <w:tc>
          <w:tcPr/>
          <w:p>
            <w:pPr>
              <w:pStyle w:val="Compact"/>
              <w:jc w:val="left"/>
            </w:pPr>
            <w:r>
              <w:t xml:space="preserve">Resultados</w:t>
            </w:r>
          </w:p>
        </w:tc>
      </w:tr>
      <w:tr>
        <w:tc>
          <w:tcPr/>
          <w:p>
            <w:pPr>
              <w:pStyle w:val="Compact"/>
              <w:jc w:val="left"/>
            </w:pPr>
            <w:r>
              <w:t xml:space="preserve">Leave-one-out (faixa das estimativas)</w:t>
            </w:r>
          </w:p>
        </w:tc>
        <w:tc>
          <w:tcPr/>
          <w:p>
            <w:pPr>
              <w:pStyle w:val="Compact"/>
              <w:jc w:val="left"/>
            </w:pPr>
            <w:r>
              <w:t xml:space="preserve">34,3% a 42,1%</w:t>
            </w:r>
          </w:p>
        </w:tc>
        <w:tc>
          <w:tcPr/>
          <w:p>
            <w:pPr>
              <w:pStyle w:val="Compact"/>
              <w:jc w:val="left"/>
            </w:pPr>
            <w:r>
              <w:t xml:space="preserve">38,9% a 45,5%</w:t>
            </w:r>
          </w:p>
        </w:tc>
        <w:tc>
          <w:tcPr/>
          <w:p>
            <w:pPr>
              <w:pStyle w:val="Compact"/>
              <w:jc w:val="left"/>
            </w:pPr>
            <w:r>
              <w:t xml:space="preserve">Resultados</w:t>
            </w:r>
          </w:p>
        </w:tc>
      </w:tr>
      <w:tr>
        <w:tc>
          <w:tcPr/>
          <w:p>
            <w:pPr>
              <w:pStyle w:val="Compact"/>
              <w:jc w:val="left"/>
            </w:pPr>
            <w:r>
              <w:t xml:space="preserve">Sem o resumo de congresso</w:t>
            </w:r>
          </w:p>
        </w:tc>
        <w:tc>
          <w:tcPr/>
          <w:p>
            <w:pPr>
              <w:pStyle w:val="Compact"/>
              <w:jc w:val="left"/>
            </w:pPr>
            <w:r>
              <w:t xml:space="preserve">42,1% (24,8–61,7; I² = 89%; k = 5)</w:t>
            </w:r>
          </w:p>
        </w:tc>
        <w:tc>
          <w:tcPr/>
          <w:p>
            <w:pPr>
              <w:pStyle w:val="Compact"/>
              <w:jc w:val="left"/>
            </w:pPr>
            <w:r>
              <w:t xml:space="preserve">42,4% (28,7–57,5; I² = 90%; k = 6)</w:t>
            </w:r>
          </w:p>
        </w:tc>
        <w:tc>
          <w:tcPr/>
          <w:p>
            <w:pPr>
              <w:pStyle w:val="Compact"/>
              <w:jc w:val="left"/>
            </w:pPr>
            <w:r>
              <w:t xml:space="preserve">Resultados</w:t>
            </w:r>
          </w:p>
        </w:tc>
      </w:tr>
      <w:tr>
        <w:tc>
          <w:tcPr/>
          <w:p>
            <w:pPr>
              <w:pStyle w:val="Compact"/>
              <w:jc w:val="left"/>
            </w:pPr>
            <w:r>
              <w:t xml:space="preserve">Sem o estudo de definição mais ampla</w:t>
            </w:r>
          </w:p>
        </w:tc>
        <w:tc>
          <w:tcPr/>
          <w:p>
            <w:pPr>
              <w:pStyle w:val="Compact"/>
              <w:jc w:val="left"/>
            </w:pPr>
            <w:r>
              <w:t xml:space="preserve">36,5% (sem Bieniek; I² = 94%)</w:t>
            </w:r>
          </w:p>
        </w:tc>
        <w:tc>
          <w:tcPr/>
          <w:p>
            <w:pPr>
              <w:pStyle w:val="Compact"/>
              <w:jc w:val="left"/>
            </w:pPr>
            <w:r>
              <w:t xml:space="preserve">38,9% (sem Van Giersbergen)</w:t>
            </w:r>
          </w:p>
        </w:tc>
        <w:tc>
          <w:tcPr/>
          <w:p>
            <w:pPr>
              <w:pStyle w:val="Compact"/>
              <w:jc w:val="left"/>
            </w:pPr>
            <w:r>
              <w:t xml:space="preserve">Resultados</w:t>
            </w:r>
          </w:p>
        </w:tc>
      </w:tr>
      <w:tr>
        <w:tc>
          <w:tcPr/>
          <w:p>
            <w:pPr>
              <w:pStyle w:val="Compact"/>
              <w:jc w:val="left"/>
            </w:pPr>
            <w:r>
              <w:t xml:space="preserve">Definições específicas (sem Van Giersbergen e Bieniek)</w:t>
            </w:r>
          </w:p>
        </w:tc>
        <w:tc>
          <w:tcPr/>
          <w:p>
            <w:pPr>
              <w:pStyle w:val="Compact"/>
              <w:jc w:val="left"/>
            </w:pPr>
            <w:r>
              <w:t xml:space="preserve">não se aplica</w:t>
            </w:r>
          </w:p>
        </w:tc>
        <w:tc>
          <w:tcPr/>
          <w:p>
            <w:pPr>
              <w:pStyle w:val="Compact"/>
              <w:jc w:val="left"/>
            </w:pPr>
            <w:r>
              <w:t xml:space="preserve">35,8% (25,8–47,2; I² = 61%; k = 5)</w:t>
            </w:r>
          </w:p>
        </w:tc>
        <w:tc>
          <w:tcPr/>
          <w:p>
            <w:pPr>
              <w:pStyle w:val="Compact"/>
              <w:jc w:val="left"/>
            </w:pPr>
            <w:r>
              <w:t xml:space="preserve">Resultados</w:t>
            </w:r>
          </w:p>
        </w:tc>
      </w:tr>
      <w:tr>
        <w:tc>
          <w:tcPr/>
          <w:p>
            <w:pPr>
              <w:pStyle w:val="Compact"/>
              <w:jc w:val="left"/>
            </w:pPr>
            <w:r>
              <w:t xml:space="preserve">Subgrupo Turquia / Malásia</w:t>
            </w:r>
          </w:p>
        </w:tc>
        <w:tc>
          <w:tcPr/>
          <w:p>
            <w:pPr>
              <w:pStyle w:val="Compact"/>
              <w:jc w:val="left"/>
            </w:pPr>
            <w:r>
              <w:t xml:space="preserve">50,5% / 19,8% (p &lt; 0,001)</w:t>
            </w:r>
          </w:p>
        </w:tc>
        <w:tc>
          <w:tcPr/>
          <w:p>
            <w:pPr>
              <w:pStyle w:val="Compact"/>
              <w:jc w:val="left"/>
            </w:pPr>
            <w:r>
              <w:t xml:space="preserve">não realizado</w:t>
            </w:r>
          </w:p>
        </w:tc>
        <w:tc>
          <w:tcPr/>
          <w:p>
            <w:pPr>
              <w:pStyle w:val="Compact"/>
              <w:jc w:val="left"/>
            </w:pPr>
            <w:r>
              <w:t xml:space="preserve">Anexo G; Fig. G1</w:t>
            </w:r>
          </w:p>
        </w:tc>
      </w:tr>
    </w:tbl>
    <w:p>
      <w:pPr>
        <w:pStyle w:val="BodyText"/>
      </w:pPr>
      <w:r>
        <w:t xml:space="preserve">Todos os valores são</w:t>
      </w:r>
      <w:r>
        <w:t xml:space="preserve"> </w:t>
      </w:r>
      <w:r>
        <w:rPr>
          <w:bCs/>
          <w:b/>
        </w:rPr>
        <w:t xml:space="preserve">[deste trabalho]</w:t>
      </w:r>
      <w:r>
        <w:t xml:space="preserve">. Leitura em uma frase: três famílias de modelo diferentes (transformar-e-combinar com logito, transformar-e-combinar com arcoseno, e verossimilhança binomial direta) convergem para 37–38% e 42%; retirar qualquer estudo mantém o ocular entre 34% e 42%; a única coisa que muda materialmente é a heterogeneidade do respiratório quando se uniformiza a definição, o que é um achado, não um problema.</w:t>
      </w:r>
    </w:p>
    <w:bookmarkEnd w:id="76"/>
    <w:bookmarkStart w:id="77" w:name="glossário-de-bolso"/>
    <w:p>
      <w:pPr>
        <w:pStyle w:val="Heading3"/>
      </w:pPr>
      <w:r>
        <w:t xml:space="preserve">Glossário de bolso</w:t>
      </w:r>
    </w:p>
    <w:p>
      <w:pPr>
        <w:numPr>
          <w:ilvl w:val="0"/>
          <w:numId w:val="1026"/>
        </w:numPr>
        <w:pStyle w:val="Compact"/>
      </w:pPr>
      <w:r>
        <w:rPr>
          <w:bCs/>
          <w:b/>
        </w:rPr>
        <w:t xml:space="preserve">Proporção (p):</w:t>
      </w:r>
      <w:r>
        <w:t xml:space="preserve"> </w:t>
      </w:r>
      <w:r>
        <w:t xml:space="preserve">eventos/denominador; aqui, fração de profissionais que relataram o sintoma.</w:t>
      </w:r>
    </w:p>
    <w:p>
      <w:pPr>
        <w:numPr>
          <w:ilvl w:val="0"/>
          <w:numId w:val="1026"/>
        </w:numPr>
        <w:pStyle w:val="Compact"/>
      </w:pPr>
      <w:r>
        <w:rPr>
          <w:bCs/>
          <w:b/>
        </w:rPr>
        <w:t xml:space="preserve">Chance (odds):</w:t>
      </w:r>
      <w:r>
        <w:t xml:space="preserve"> </w:t>
      </w:r>
      <w:r>
        <w:t xml:space="preserve">p/(1−p). Para 33/81: 33/48 = 0,69.</w:t>
      </w:r>
    </w:p>
    <w:p>
      <w:pPr>
        <w:numPr>
          <w:ilvl w:val="0"/>
          <w:numId w:val="1026"/>
        </w:numPr>
        <w:pStyle w:val="Compact"/>
      </w:pPr>
      <w:r>
        <w:rPr>
          <w:bCs/>
          <w:b/>
        </w:rPr>
        <w:t xml:space="preserve">Logito:</w:t>
      </w:r>
      <w:r>
        <w:t xml:space="preserve"> </w:t>
      </w:r>
      <w:r>
        <w:t xml:space="preserve">ln da chance. Transforma 0–1 em −∞ a +∞; 50% vira 0.</w:t>
      </w:r>
    </w:p>
    <w:p>
      <w:pPr>
        <w:numPr>
          <w:ilvl w:val="0"/>
          <w:numId w:val="1026"/>
        </w:numPr>
        <w:pStyle w:val="Compact"/>
      </w:pPr>
      <w:r>
        <w:rPr>
          <w:bCs/>
          <w:b/>
        </w:rPr>
        <w:t xml:space="preserve">Variância intraestudo (v):</w:t>
      </w:r>
      <w:r>
        <w:t xml:space="preserve"> </w:t>
      </w:r>
      <w:r>
        <w:t xml:space="preserve">incerteza amostral de cada estudo; no logito, 1/e + 1/(n−e).</w:t>
      </w:r>
    </w:p>
    <w:p>
      <w:pPr>
        <w:numPr>
          <w:ilvl w:val="0"/>
          <w:numId w:val="1026"/>
        </w:numPr>
        <w:pStyle w:val="Compact"/>
      </w:pPr>
      <w:r>
        <w:rPr>
          <w:bCs/>
          <w:b/>
        </w:rPr>
        <w:t xml:space="preserve">Wilson:</w:t>
      </w:r>
      <w:r>
        <w:t xml:space="preserve"> </w:t>
      </w:r>
      <w:r>
        <w:t xml:space="preserve">IC para uma proporção isolada, respeita 0–100%; usado nas linhas do gráfico de floresta.</w:t>
      </w:r>
    </w:p>
    <w:p>
      <w:pPr>
        <w:numPr>
          <w:ilvl w:val="0"/>
          <w:numId w:val="1026"/>
        </w:numPr>
        <w:pStyle w:val="Compact"/>
      </w:pPr>
      <w:r>
        <w:rPr>
          <w:bCs/>
          <w:b/>
        </w:rPr>
        <w:t xml:space="preserve">Efeito fixo:</w:t>
      </w:r>
      <w:r>
        <w:t xml:space="preserve"> </w:t>
      </w:r>
      <w:r>
        <w:t xml:space="preserve">uma única prevalência verdadeira; pesos 1/v.</w:t>
      </w:r>
    </w:p>
    <w:p>
      <w:pPr>
        <w:numPr>
          <w:ilvl w:val="0"/>
          <w:numId w:val="1026"/>
        </w:numPr>
        <w:pStyle w:val="Compact"/>
      </w:pPr>
      <w:r>
        <w:rPr>
          <w:bCs/>
          <w:b/>
        </w:rPr>
        <w:t xml:space="preserve">Efeitos aleatórios:</w:t>
      </w:r>
      <w:r>
        <w:t xml:space="preserve"> </w:t>
      </w:r>
      <w:r>
        <w:t xml:space="preserve">prevalências verdadeiras diferentes, com média e variância tau²; pesos 1/(v + tau²).</w:t>
      </w:r>
    </w:p>
    <w:p>
      <w:pPr>
        <w:numPr>
          <w:ilvl w:val="0"/>
          <w:numId w:val="1026"/>
        </w:numPr>
        <w:pStyle w:val="Compact"/>
      </w:pPr>
      <w:r>
        <w:rPr>
          <w:bCs/>
          <w:b/>
        </w:rPr>
        <w:t xml:space="preserve">tau²:</w:t>
      </w:r>
      <w:r>
        <w:t xml:space="preserve"> </w:t>
      </w:r>
      <w:r>
        <w:t xml:space="preserve">variância entre estudos na escala logito (0,493 ocular; 0,249 respiratório). Medida absoluta da heterogeneidade.</w:t>
      </w:r>
    </w:p>
    <w:p>
      <w:pPr>
        <w:numPr>
          <w:ilvl w:val="0"/>
          <w:numId w:val="1026"/>
        </w:numPr>
        <w:pStyle w:val="Compact"/>
      </w:pPr>
      <w:r>
        <w:rPr>
          <w:bCs/>
          <w:b/>
        </w:rPr>
        <w:t xml:space="preserve">Paule-Mandel:</w:t>
      </w:r>
      <w:r>
        <w:t xml:space="preserve"> </w:t>
      </w:r>
      <w:r>
        <w:t xml:space="preserve">estimador iterativo de tau²; escolhe tau² tal que a soma ponderada de quadrados vale k − 1.</w:t>
      </w:r>
    </w:p>
    <w:p>
      <w:pPr>
        <w:numPr>
          <w:ilvl w:val="0"/>
          <w:numId w:val="1026"/>
        </w:numPr>
        <w:pStyle w:val="Compact"/>
      </w:pPr>
      <w:r>
        <w:rPr>
          <w:bCs/>
          <w:b/>
        </w:rPr>
        <w:t xml:space="preserve">DerSimonian-Laird:</w:t>
      </w:r>
      <w:r>
        <w:t xml:space="preserve"> </w:t>
      </w:r>
      <w:r>
        <w:t xml:space="preserve">estimador de tau² com fórmula fechada; subestima com poucos estudos; usado só na sensibilidade com Freeman-Tukey.</w:t>
      </w:r>
    </w:p>
    <w:p>
      <w:pPr>
        <w:numPr>
          <w:ilvl w:val="0"/>
          <w:numId w:val="1026"/>
        </w:numPr>
        <w:pStyle w:val="Compact"/>
      </w:pPr>
      <w:r>
        <w:rPr>
          <w:bCs/>
          <w:b/>
        </w:rPr>
        <w:t xml:space="preserve">Hartung-Knapp-Sidik-Jonkman (HKSJ):</w:t>
      </w:r>
      <w:r>
        <w:t xml:space="preserve"> </w:t>
      </w:r>
      <w:r>
        <w:t xml:space="preserve">IC da média combinada com quantil t(k − 1) e fator de escala q; com Paule-Mandel, q = 1.</w:t>
      </w:r>
    </w:p>
    <w:p>
      <w:pPr>
        <w:numPr>
          <w:ilvl w:val="0"/>
          <w:numId w:val="1026"/>
        </w:numPr>
        <w:pStyle w:val="Compact"/>
      </w:pPr>
      <w:r>
        <w:rPr>
          <w:bCs/>
          <w:b/>
        </w:rPr>
        <w:t xml:space="preserve">Retrotransformação:</w:t>
      </w:r>
      <w:r>
        <w:t xml:space="preserve"> </w:t>
      </w:r>
      <w:r>
        <w:t xml:space="preserve">p = e^x/(1 + e^x); devolve o logito para porcentagem.</w:t>
      </w:r>
    </w:p>
    <w:p>
      <w:pPr>
        <w:numPr>
          <w:ilvl w:val="0"/>
          <w:numId w:val="1026"/>
        </w:numPr>
        <w:pStyle w:val="Compact"/>
      </w:pPr>
      <w:r>
        <w:rPr>
          <w:bCs/>
          <w:b/>
        </w:rPr>
        <w:t xml:space="preserve">Q de Cochran:</w:t>
      </w:r>
      <w:r>
        <w:t xml:space="preserve"> </w:t>
      </w:r>
      <w:r>
        <w:t xml:space="preserve">soma ponderada dos desvios quadrados em relação à média fixa; sob homogeneidade, ~ qui-quadrado(k − 1).</w:t>
      </w:r>
    </w:p>
    <w:p>
      <w:pPr>
        <w:numPr>
          <w:ilvl w:val="0"/>
          <w:numId w:val="1026"/>
        </w:numPr>
        <w:pStyle w:val="Compact"/>
      </w:pPr>
      <w:r>
        <w:rPr>
          <w:bCs/>
          <w:b/>
        </w:rPr>
        <w:t xml:space="preserve">I²:</w:t>
      </w:r>
      <w:r>
        <w:t xml:space="preserve"> </w:t>
      </w:r>
      <w:r>
        <w:t xml:space="preserve">(Q − gl)/Q; fração da variabilidade atribuível a heterogeneidade real; medida relativa.</w:t>
      </w:r>
    </w:p>
    <w:p>
      <w:pPr>
        <w:numPr>
          <w:ilvl w:val="0"/>
          <w:numId w:val="1026"/>
        </w:numPr>
        <w:pStyle w:val="Compact"/>
      </w:pPr>
      <w:r>
        <w:rPr>
          <w:bCs/>
          <w:b/>
        </w:rPr>
        <w:t xml:space="preserve">Intervalo de predição (IP):</w:t>
      </w:r>
      <w:r>
        <w:t xml:space="preserve"> </w:t>
      </w:r>
      <w:r>
        <w:t xml:space="preserve">faixa esperada para a prevalência de um novo estudo; média ± t(k − 2)·√(tau² + EP²).</w:t>
      </w:r>
    </w:p>
    <w:p>
      <w:pPr>
        <w:numPr>
          <w:ilvl w:val="0"/>
          <w:numId w:val="1026"/>
        </w:numPr>
        <w:pStyle w:val="Compact"/>
      </w:pPr>
      <w:r>
        <w:rPr>
          <w:bCs/>
          <w:b/>
        </w:rPr>
        <w:t xml:space="preserve">Freeman-Tukey:</w:t>
      </w:r>
      <w:r>
        <w:t xml:space="preserve"> </w:t>
      </w:r>
      <w:r>
        <w:t xml:space="preserve">transformação duplo-arcoseno; variância 1/(4n + 2); retrotransformação pela média harmônica dos n.</w:t>
      </w:r>
    </w:p>
    <w:p>
      <w:pPr>
        <w:numPr>
          <w:ilvl w:val="0"/>
          <w:numId w:val="1026"/>
        </w:numPr>
        <w:pStyle w:val="Compact"/>
      </w:pPr>
      <w:r>
        <w:rPr>
          <w:bCs/>
          <w:b/>
        </w:rPr>
        <w:t xml:space="preserve">GLMM de intercepto aleatório:</w:t>
      </w:r>
      <w:r>
        <w:t xml:space="preserve"> </w:t>
      </w:r>
      <w:r>
        <w:t xml:space="preserve">modela e_i ~ Binomial(n_i, p_i) com logit(p_i) = μ + u_i; sem aproximação de variância, sem correção de continuidade.</w:t>
      </w:r>
    </w:p>
    <w:p>
      <w:pPr>
        <w:numPr>
          <w:ilvl w:val="0"/>
          <w:numId w:val="1026"/>
        </w:numPr>
        <w:pStyle w:val="Compact"/>
      </w:pPr>
      <w:r>
        <w:rPr>
          <w:bCs/>
          <w:b/>
        </w:rPr>
        <w:t xml:space="preserve">Quadratura de Gauss-Hermite:</w:t>
      </w:r>
      <w:r>
        <w:t xml:space="preserve"> </w:t>
      </w:r>
      <w:r>
        <w:t xml:space="preserve">aproximação numérica da integral sobre o efeito aleatório (80 nós).</w:t>
      </w:r>
    </w:p>
    <w:p>
      <w:pPr>
        <w:numPr>
          <w:ilvl w:val="0"/>
          <w:numId w:val="1026"/>
        </w:numPr>
        <w:pStyle w:val="Compact"/>
      </w:pPr>
      <w:r>
        <w:rPr>
          <w:bCs/>
          <w:b/>
        </w:rPr>
        <w:t xml:space="preserve">Leave-one-out:</w:t>
      </w:r>
      <w:r>
        <w:t xml:space="preserve"> </w:t>
      </w:r>
      <w:r>
        <w:t xml:space="preserve">repete a metanálise retirando um estudo por vez.</w:t>
      </w:r>
    </w:p>
    <w:p>
      <w:pPr>
        <w:numPr>
          <w:ilvl w:val="0"/>
          <w:numId w:val="1026"/>
        </w:numPr>
        <w:pStyle w:val="Compact"/>
      </w:pPr>
      <w:r>
        <w:rPr>
          <w:bCs/>
          <w:b/>
        </w:rPr>
        <w:t xml:space="preserve">Gráfico de Baujat:</w:t>
      </w:r>
      <w:r>
        <w:t xml:space="preserve"> </w:t>
      </w:r>
      <w:r>
        <w:t xml:space="preserve">x = contribuição ao Q; y = influência na média; canto superior direito = estudo problemático.</w:t>
      </w:r>
    </w:p>
    <w:p>
      <w:pPr>
        <w:numPr>
          <w:ilvl w:val="0"/>
          <w:numId w:val="1026"/>
        </w:numPr>
        <w:pStyle w:val="Compact"/>
      </w:pPr>
      <w:r>
        <w:rPr>
          <w:bCs/>
          <w:b/>
        </w:rPr>
        <w:t xml:space="preserve">Teste Q entre subgrupos:</w:t>
      </w:r>
      <w:r>
        <w:t xml:space="preserve"> </w:t>
      </w:r>
      <w:r>
        <w:t xml:space="preserve">compara as médias dos estratos; aqui p &lt; 0,001, exploratório.</w:t>
      </w:r>
    </w:p>
    <w:p>
      <w:pPr>
        <w:numPr>
          <w:ilvl w:val="0"/>
          <w:numId w:val="1026"/>
        </w:numPr>
        <w:pStyle w:val="Compact"/>
      </w:pPr>
      <w:r>
        <w:rPr>
          <w:bCs/>
          <w:b/>
        </w:rPr>
        <w:t xml:space="preserve">Funil/Egger:</w:t>
      </w:r>
      <w:r>
        <w:t xml:space="preserve"> </w:t>
      </w:r>
      <w:r>
        <w:t xml:space="preserve">diagnósticos de viés de publicação; inadequados em proporção (EP depende de p) e exigem ≥ 10 estudos.</w:t>
      </w:r>
    </w:p>
    <w:p>
      <w:pPr>
        <w:numPr>
          <w:ilvl w:val="0"/>
          <w:numId w:val="1026"/>
        </w:numPr>
        <w:pStyle w:val="Compact"/>
      </w:pPr>
      <w:r>
        <w:rPr>
          <w:bCs/>
          <w:b/>
        </w:rPr>
        <w:t xml:space="preserve">Metarregressão:</w:t>
      </w:r>
      <w:r>
        <w:t xml:space="preserve"> </w:t>
      </w:r>
      <w:r>
        <w:t xml:space="preserve">regressão da estimativa sobre covariáveis de estudo; precisa de ~10 estudos por covariável.</w:t>
      </w:r>
    </w:p>
    <w:p>
      <w:pPr>
        <w:numPr>
          <w:ilvl w:val="0"/>
          <w:numId w:val="1026"/>
        </w:numPr>
        <w:pStyle w:val="Compact"/>
      </w:pPr>
      <w:r>
        <w:rPr>
          <w:bCs/>
          <w:b/>
        </w:rPr>
        <w:t xml:space="preserve">Risco relativo (RR):</w:t>
      </w:r>
      <w:r>
        <w:t xml:space="preserve"> </w:t>
      </w:r>
      <w:r>
        <w:t xml:space="preserve">risco nos expostos/risco nos não expostos; IC calculado na escala ln com EP de Wald.</w:t>
      </w:r>
    </w:p>
    <w:p>
      <w:pPr>
        <w:numPr>
          <w:ilvl w:val="0"/>
          <w:numId w:val="1026"/>
        </w:numPr>
        <w:pStyle w:val="Compact"/>
      </w:pPr>
      <w:r>
        <w:rPr>
          <w:bCs/>
          <w:b/>
        </w:rPr>
        <w:t xml:space="preserve">Correção de continuidade:</w:t>
      </w:r>
      <w:r>
        <w:t xml:space="preserve"> </w:t>
      </w:r>
      <w:r>
        <w:t xml:space="preserve">somar 0,5 às células quando há 0 eventos; não foi necessária aqui.</w:t>
      </w:r>
    </w:p>
    <w:bookmarkEnd w:id="77"/>
    <w:bookmarkStart w:id="78" w:name="como-explicar-em-30-segundos"/>
    <w:p>
      <w:pPr>
        <w:pStyle w:val="Heading3"/>
      </w:pPr>
      <w:r>
        <w:t xml:space="preserve">Como explicar em 30 segundos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Conceito</w:t>
            </w:r>
          </w:p>
        </w:tc>
        <w:tc>
          <w:tcPr/>
          <w:p>
            <w:pPr>
              <w:pStyle w:val="Compact"/>
              <w:jc w:val="left"/>
            </w:pPr>
            <w:r>
              <w:t xml:space="preserve">Versão de 30 segundos para a banca</w:t>
            </w:r>
          </w:p>
        </w:tc>
      </w:tr>
      <w:tr>
        <w:tc>
          <w:tcPr/>
          <w:p>
            <w:pPr>
              <w:pStyle w:val="Compact"/>
              <w:jc w:val="left"/>
            </w:pPr>
            <w:r>
              <w:rPr>
                <w:bCs/>
                <w:b/>
              </w:rPr>
              <w:t xml:space="preserve">Efeitos aleatórios</w:t>
            </w:r>
          </w:p>
        </w:tc>
        <w:tc>
          <w:tcPr/>
          <w:p>
            <w:pPr>
              <w:pStyle w:val="Compact"/>
              <w:jc w:val="left"/>
            </w:pPr>
            <w:r>
              <w:t xml:space="preserve">“</w:t>
            </w:r>
            <w:r>
              <w:t xml:space="preserve">Os seis estudos não estimam a mesma prevalência: na Turquia foi 50%, na Malásia 20%. O modelo de efeitos aleatórios aceita que cada contexto tem a sua prevalência verdadeira e estima a média delas, incorporando a variância entre estudos, o tau², no peso de cada um. Por isso os pesos ficaram quase iguais, em vez de o maior estudo dominar.</w:t>
            </w:r>
            <w:r>
              <w:t xml:space="preserve">”</w:t>
            </w:r>
          </w:p>
        </w:tc>
      </w:tr>
      <w:tr>
        <w:tc>
          <w:tcPr/>
          <w:p>
            <w:pPr>
              <w:pStyle w:val="Compact"/>
              <w:jc w:val="left"/>
            </w:pPr>
            <w:r>
              <w:rPr>
                <w:bCs/>
                <w:b/>
              </w:rPr>
              <w:t xml:space="preserve">Logito</w:t>
            </w:r>
          </w:p>
        </w:tc>
        <w:tc>
          <w:tcPr/>
          <w:p>
            <w:pPr>
              <w:pStyle w:val="Compact"/>
              <w:jc w:val="left"/>
            </w:pPr>
            <w:r>
              <w:t xml:space="preserve">“</w:t>
            </w:r>
            <w:r>
              <w:t xml:space="preserve">Proporção vive entre 0 e 100%, e uma média com IC nessa escala pode estourar os limites. O logito é o log da chance, p sobre 1 menos p: 33/81 vira ln(33/48) = −0,37. Nessa escala a distribuição é mais próxima da normal, faço todas as contas e depois volto com e</w:t>
            </w:r>
            <w:r>
              <w:rPr>
                <w:vertAlign w:val="superscript"/>
              </w:rPr>
              <w:t xml:space="preserve">x/(1+e</w:t>
            </w:r>
            <w:r>
              <w:t xml:space="preserve">x), o que garante o resultado entre 0 e 100%. Não precisei de correção de continuidade porque nenhum estudo tinha 0% ou 100%.</w:t>
            </w:r>
            <w:r>
              <w:t xml:space="preserve">”</w:t>
            </w:r>
          </w:p>
        </w:tc>
      </w:tr>
      <w:tr>
        <w:tc>
          <w:tcPr/>
          <w:p>
            <w:pPr>
              <w:pStyle w:val="Compact"/>
              <w:jc w:val="left"/>
            </w:pPr>
            <w:r>
              <w:rPr>
                <w:bCs/>
                <w:b/>
              </w:rPr>
              <w:t xml:space="preserve">Hartung-Knapp</w:t>
            </w:r>
          </w:p>
        </w:tc>
        <w:tc>
          <w:tcPr/>
          <w:p>
            <w:pPr>
              <w:pStyle w:val="Compact"/>
              <w:jc w:val="left"/>
            </w:pPr>
            <w:r>
              <w:t xml:space="preserve">“</w:t>
            </w:r>
            <w:r>
              <w:t xml:space="preserve">Com seis estudos e heterogeneidade alta, o IC clássico com 1,96 é estreito demais e falha mais de 5% das vezes, como IntHout mostrou em 2014. O ajuste de Hartung-Knapp troca o 1,96 pelo t de Student com k − 1 graus de liberdade, 2,57 no meu caso, e reescala a variância pela dispersão observada. O IC foi de 25–52% para 22–57%: mais largo e mais honesto.</w:t>
            </w:r>
            <w:r>
              <w:t xml:space="preserve">”</w:t>
            </w:r>
          </w:p>
        </w:tc>
      </w:tr>
      <w:tr>
        <w:tc>
          <w:tcPr/>
          <w:p>
            <w:pPr>
              <w:pStyle w:val="Compact"/>
              <w:jc w:val="left"/>
            </w:pPr>
            <w:r>
              <w:rPr>
                <w:bCs/>
                <w:b/>
              </w:rPr>
              <w:t xml:space="preserve">I²</w:t>
            </w:r>
          </w:p>
        </w:tc>
        <w:tc>
          <w:tcPr/>
          <w:p>
            <w:pPr>
              <w:pStyle w:val="Compact"/>
              <w:jc w:val="left"/>
            </w:pPr>
            <w:r>
              <w:t xml:space="preserve">“</w:t>
            </w:r>
            <w:r>
              <w:t xml:space="preserve">I² é a fração da variação entre estudos que não é explicada pelo acaso: (Q − gl)/Q = (67,8 − 5)/67,8 = 93%. Em prevalência isso é esperado, porque as variâncias dentro dos estudos são minúsculas e a prevalência varia de verdade com o contexto e a definição do sintoma. A prova é que, ao uniformizar a definição no respiratório, o I² caiu de 91% para 61%. Por isso eu interpreto junto com o tau² e o intervalo de predição.</w:t>
            </w:r>
            <w:r>
              <w:t xml:space="preserve">”</w:t>
            </w:r>
          </w:p>
        </w:tc>
      </w:tr>
      <w:tr>
        <w:tc>
          <w:tcPr/>
          <w:p>
            <w:pPr>
              <w:pStyle w:val="Compact"/>
              <w:jc w:val="left"/>
            </w:pPr>
            <w:r>
              <w:rPr>
                <w:bCs/>
                <w:b/>
              </w:rPr>
              <w:t xml:space="preserve">Intervalo de predição</w:t>
            </w:r>
          </w:p>
        </w:tc>
        <w:tc>
          <w:tcPr/>
          <w:p>
            <w:pPr>
              <w:pStyle w:val="Compact"/>
              <w:jc w:val="left"/>
            </w:pPr>
            <w:r>
              <w:t xml:space="preserve">“</w:t>
            </w:r>
            <w:r>
              <w:t xml:space="preserve">O IC diz onde está a média; o intervalo de predição diz onde cairia um novo estudo: média ± t(k − 2) vezes a raiz de tau² mais EP². Deu 7% a 83% para o sintoma ocular. É largo porque tau² é grande e porque com seis estudos o t vale 2,78. É instável com menos de dez estudos, e por isso eu o uso como alerta de variabilidade, não como estimativa precisa.</w:t>
            </w:r>
            <w:r>
              <w:t xml:space="preserve">”</w:t>
            </w:r>
          </w:p>
        </w:tc>
      </w:tr>
    </w:tbl>
    <w:bookmarkEnd w:id="78"/>
    <w:bookmarkEnd w:id="79"/>
    <w:bookmarkStart w:id="102" w:name="X770e265ceeb12754ceead7de6ec231c18aa8ffb"/>
    <w:p>
      <w:pPr>
        <w:pStyle w:val="Heading2"/>
      </w:pPr>
      <w:r>
        <w:t xml:space="preserve">Parte 4 — Passos 4, 5 e 7: extração, risco de viés (JBI) e certeza (GRADE)</w:t>
      </w:r>
    </w:p>
    <w:p>
      <w:pPr>
        <w:pStyle w:val="FirstParagraph"/>
      </w:pPr>
      <w:r>
        <w:t xml:space="preserve">Estes três passos formam a</w:t>
      </w:r>
      <w:r>
        <w:t xml:space="preserve"> </w:t>
      </w:r>
      <w:r>
        <w:t xml:space="preserve">“</w:t>
      </w:r>
      <w:r>
        <w:t xml:space="preserve">cadeia de confiança</w:t>
      </w:r>
      <w:r>
        <w:t xml:space="preserve">”</w:t>
      </w:r>
      <w:r>
        <w:t xml:space="preserve"> </w:t>
      </w:r>
      <w:r>
        <w:t xml:space="preserve">da sua revisão. A</w:t>
      </w:r>
      <w:r>
        <w:t xml:space="preserve"> </w:t>
      </w:r>
      <w:r>
        <w:rPr>
          <w:bCs/>
          <w:b/>
        </w:rPr>
        <w:t xml:space="preserve">extração</w:t>
      </w:r>
      <w:r>
        <w:t xml:space="preserve"> </w:t>
      </w:r>
      <w:r>
        <w:t xml:space="preserve">(passo 4) produz os números que alimentam a metanálise; o</w:t>
      </w:r>
      <w:r>
        <w:t xml:space="preserve"> </w:t>
      </w:r>
      <w:r>
        <w:rPr>
          <w:bCs/>
          <w:b/>
        </w:rPr>
        <w:t xml:space="preserve">risco de viés</w:t>
      </w:r>
      <w:r>
        <w:t xml:space="preserve"> </w:t>
      </w:r>
      <w:r>
        <w:t xml:space="preserve">(passo 5) julga quanto cada estudo merece crédito; o</w:t>
      </w:r>
      <w:r>
        <w:t xml:space="preserve"> </w:t>
      </w:r>
      <w:r>
        <w:rPr>
          <w:bCs/>
          <w:b/>
        </w:rPr>
        <w:t xml:space="preserve">GRADE</w:t>
      </w:r>
      <w:r>
        <w:t xml:space="preserve"> </w:t>
      </w:r>
      <w:r>
        <w:t xml:space="preserve">(passo 7) julga quanto o</w:t>
      </w:r>
      <w:r>
        <w:t xml:space="preserve"> </w:t>
      </w:r>
      <w:r>
        <w:rPr>
          <w:iCs/>
          <w:i/>
        </w:rPr>
        <w:t xml:space="preserve">conjunto</w:t>
      </w:r>
      <w:r>
        <w:t xml:space="preserve"> </w:t>
      </w:r>
      <w:r>
        <w:t xml:space="preserve">da evidência merece crédito, desfecho por desfecho. Um alimenta o outro: a classificação JBI vira o primeiro domínio do GRADE; o I², o intervalo de confiança e o intervalo de predição que saem da síntese (passo 6, tratado em seção própria) viram os domínios de inconsistência e imprecisão.</w:t>
      </w:r>
    </w:p>
    <w:p>
      <w:pPr>
        <w:pStyle w:val="BodyText"/>
      </w:pPr>
      <w:r>
        <w:t xml:space="preserve">Convenção desta seção: tudo o que não estiver marcado como</w:t>
      </w:r>
      <w:r>
        <w:t xml:space="preserve"> </w:t>
      </w:r>
      <w:r>
        <w:rPr>
          <w:bCs/>
          <w:b/>
        </w:rPr>
        <w:t xml:space="preserve">[conhecimento geral]</w:t>
      </w:r>
      <w:r>
        <w:t xml:space="preserve"> </w:t>
      </w:r>
      <w:r>
        <w:t xml:space="preserve">ou</w:t>
      </w:r>
      <w:r>
        <w:t xml:space="preserve"> </w:t>
      </w:r>
      <w:r>
        <w:rPr>
          <w:bCs/>
          <w:b/>
        </w:rPr>
        <w:t xml:space="preserve">[cálculo meu]</w:t>
      </w:r>
      <w:r>
        <w:t xml:space="preserve"> </w:t>
      </w:r>
      <w:r>
        <w:t xml:space="preserve">vem do manuscrito (texto, tabelas ou anexos). Os três passos foram conduzidos por um único revisor (você), e o manuscrito reconhece isso como limitação; não tente esconder, apresente como decisão transparente com registro padronizado e dados abertos no OSF (osf.io/jktmn).</w:t>
      </w:r>
    </w:p>
    <w:p>
      <w:r>
        <w:pict>
          <v:rect style="width:0;height:1.5pt" o:hralign="center" o:hrstd="t" o:hr="t"/>
        </w:pict>
      </w:r>
    </w:p>
    <w:bookmarkStart w:id="86" w:name="passo-4-extração-dos-dados"/>
    <w:p>
      <w:pPr>
        <w:pStyle w:val="Heading3"/>
      </w:pPr>
      <w:r>
        <w:t xml:space="preserve">Passo 4 — Extração dos dados</w:t>
      </w:r>
    </w:p>
    <w:bookmarkStart w:id="80" w:name="o-que-foi-feito"/>
    <w:p>
      <w:pPr>
        <w:pStyle w:val="Heading4"/>
      </w:pPr>
      <w:r>
        <w:t xml:space="preserve">O que foi feito</w:t>
      </w:r>
    </w:p>
    <w:p>
      <w:pPr>
        <w:pStyle w:val="FirstParagraph"/>
      </w:pPr>
      <w:r>
        <w:t xml:space="preserve">A extração foi feita em</w:t>
      </w:r>
      <w:r>
        <w:t xml:space="preserve"> </w:t>
      </w:r>
      <w:r>
        <w:rPr>
          <w:bCs/>
          <w:b/>
        </w:rPr>
        <w:t xml:space="preserve">planilha padronizada</w:t>
      </w:r>
      <w:r>
        <w:t xml:space="preserve"> </w:t>
      </w:r>
      <w:r>
        <w:t xml:space="preserve">com os seguintes campos: identificação (autor, ano, país), desenho, população, dispositivo gerador da fumaça, comparador, instrumento e definição operacional do desfecho, taxa de resposta (quando informada) e medidas de resultado. Para o desfecho de prevalência, extraíram-se</w:t>
      </w:r>
      <w:r>
        <w:t xml:space="preserve"> </w:t>
      </w:r>
      <w:r>
        <w:rPr>
          <w:bCs/>
          <w:b/>
        </w:rPr>
        <w:t xml:space="preserve">o número de eventos e o denominador de cada grupo</w:t>
      </w:r>
      <w:r>
        <w:t xml:space="preserve">. Não houve contato com autores para obter dados adicionais. Os dados que entraram na metanálise estão no Anexo D; a planilha completa está no repositório OSF.</w:t>
      </w:r>
    </w:p>
    <w:bookmarkEnd w:id="80"/>
    <w:bookmarkStart w:id="81" w:name="Xf87d536470625af6569055d039286b9bf0d784c"/>
    <w:p>
      <w:pPr>
        <w:pStyle w:val="Heading4"/>
      </w:pPr>
      <w:r>
        <w:t xml:space="preserve">As cinco regras de extração que você precisa saber explicar</w:t>
      </w:r>
    </w:p>
    <w:p>
      <w:pPr>
        <w:numPr>
          <w:ilvl w:val="0"/>
          <w:numId w:val="1027"/>
        </w:numPr>
      </w:pPr>
      <w:r>
        <w:rPr>
          <w:bCs/>
          <w:b/>
        </w:rPr>
        <w:t xml:space="preserve">Sintoma-índice.</w:t>
      </w:r>
      <w:r>
        <w:t xml:space="preserve"> </w:t>
      </w:r>
      <w:r>
        <w:t xml:space="preserve">Cada agrupamento (ocular e respiratório) reuniu o sintoma autorrelatado conforme a definição de cada estudo. Quando um estudo relatava mais de um sintoma elegível para o mesmo agrupamento, adotou-se</w:t>
      </w:r>
      <w:r>
        <w:t xml:space="preserve"> </w:t>
      </w:r>
      <w:r>
        <w:rPr>
          <w:bCs/>
          <w:b/>
        </w:rPr>
        <w:t xml:space="preserve">o mais específico para a via correspondente</w:t>
      </w:r>
      <w:r>
        <w:t xml:space="preserve"> </w:t>
      </w:r>
      <w:r>
        <w:t xml:space="preserve">(por exemplo, lacrimejamento ou irritação ocular; tosse ou irritação de vias aéreas). Essa regra foi definida</w:t>
      </w:r>
      <w:r>
        <w:t xml:space="preserve"> </w:t>
      </w:r>
      <w:r>
        <w:rPr>
          <w:bCs/>
          <w:b/>
        </w:rPr>
        <w:t xml:space="preserve">durante a análise, depois do protocolo</w:t>
      </w:r>
      <w:r>
        <w:t xml:space="preserve">, e o manuscrito declara isso abertamente em</w:t>
      </w:r>
      <w:r>
        <w:t xml:space="preserve"> </w:t>
      </w:r>
      <w:r>
        <w:t xml:space="preserve">“</w:t>
      </w:r>
      <w:r>
        <w:t xml:space="preserve">Decisões posteriores ao registro</w:t>
      </w:r>
      <w:r>
        <w:t xml:space="preserve">”</w:t>
      </w:r>
      <w:r>
        <w:t xml:space="preserve">. O período de recordatório raramente foi informado pelos estudos.</w:t>
      </w:r>
    </w:p>
    <w:p>
      <w:pPr>
        <w:numPr>
          <w:ilvl w:val="0"/>
          <w:numId w:val="1027"/>
        </w:numPr>
      </w:pPr>
      <w:r>
        <w:rPr>
          <w:bCs/>
          <w:b/>
        </w:rPr>
        <w:t xml:space="preserve">Uma publicação por população em cada agrupamento.</w:t>
      </w:r>
      <w:r>
        <w:t xml:space="preserve"> </w:t>
      </w:r>
      <w:r>
        <w:t xml:space="preserve">Sete publicações do mesmo grupo brasileiro (Paraná) vêm de coortes com sobreposição amostral parcial. Regra definida</w:t>
      </w:r>
      <w:r>
        <w:t xml:space="preserve"> </w:t>
      </w:r>
      <w:r>
        <w:rPr>
          <w:bCs/>
          <w:b/>
        </w:rPr>
        <w:t xml:space="preserve">antes da síntese</w:t>
      </w:r>
      <w:r>
        <w:t xml:space="preserve">: o cluster seria representado pela publicação com o relato mais completo dos desfechos combinados, com numerador e denominador para os sintomas ocular e respiratório. Isso correspondeu a</w:t>
      </w:r>
      <w:r>
        <w:t xml:space="preserve"> </w:t>
      </w:r>
      <w:r>
        <w:rPr>
          <w:bCs/>
          <w:b/>
        </w:rPr>
        <w:t xml:space="preserve">Bieniek et al. (2022)</w:t>
      </w:r>
      <w:r>
        <w:t xml:space="preserve">. Trocar o representante em análise de sensibilidade não foi factível: Bieniek et al. (2025; n = 343) mediu sintomas oculares pela escala EASE (intensidade de 0 a 3) e reportou os resultados estratificados por uso de medidas de proteção, sem numerador e denominador globais comparáveis à definição dicotômica dos demais estudos.</w:t>
      </w:r>
    </w:p>
    <w:p>
      <w:pPr>
        <w:numPr>
          <w:ilvl w:val="0"/>
          <w:numId w:val="1027"/>
        </w:numPr>
      </w:pPr>
      <w:r>
        <w:rPr>
          <w:bCs/>
          <w:b/>
        </w:rPr>
        <w:t xml:space="preserve">Os dois pares</w:t>
      </w:r>
      <w:r>
        <w:rPr>
          <w:bCs/>
          <w:b/>
        </w:rPr>
        <w:t xml:space="preserve"> </w:t>
      </w:r>
      <w:r>
        <w:rPr>
          <w:bCs/>
          <w:b/>
        </w:rPr>
        <w:t xml:space="preserve">“</w:t>
      </w:r>
      <w:r>
        <w:rPr>
          <w:bCs/>
          <w:b/>
        </w:rPr>
        <w:t xml:space="preserve">suspeitos</w:t>
      </w:r>
      <w:r>
        <w:rPr>
          <w:bCs/>
          <w:b/>
        </w:rPr>
        <w:t xml:space="preserve">”</w:t>
      </w:r>
      <w:r>
        <w:rPr>
          <w:bCs/>
          <w:b/>
        </w:rPr>
        <w:t xml:space="preserve"> </w:t>
      </w:r>
      <w:r>
        <w:rPr>
          <w:bCs/>
          <w:b/>
        </w:rPr>
        <w:t xml:space="preserve">não são sobreposição.</w:t>
      </w:r>
      <w:r>
        <w:t xml:space="preserve"> </w:t>
      </w:r>
      <w:r>
        <w:t xml:space="preserve">Os dois estudos turcos com autoria compartilhada têm marcos amostrais distintos (İlçe et al., 2017: censo de um único hospital de ensino, abril a junho de 2015, enfermeiros e médicos; Van Giersbergen et al., 2019: enfermeiros de centro cirúrgico de todo o país, recrutados em encontros de uma associação profissional). Os dois malaios foram feitos em hospitais diferentes (Serdang e Kuala Lumpur). Logo, não há sobreposição documentada, embora a participação eventual de um mesmo profissional em dois inquéritos não possa ser formalmente descartada.</w:t>
      </w:r>
    </w:p>
    <w:p>
      <w:pPr>
        <w:numPr>
          <w:ilvl w:val="0"/>
          <w:numId w:val="1027"/>
        </w:numPr>
      </w:pPr>
      <w:r>
        <w:rPr>
          <w:bCs/>
          <w:b/>
        </w:rPr>
        <w:t xml:space="preserve">Resumo de congresso só entra se tiver tudo.</w:t>
      </w:r>
      <w:r>
        <w:t xml:space="preserve"> </w:t>
      </w:r>
      <w:r>
        <w:t xml:space="preserve">Resumos foram excluídos, salvo quando informavam população, cenário, definição do desfecho, número de eventos e denominador. Foi o caso de</w:t>
      </w:r>
      <w:r>
        <w:t xml:space="preserve"> </w:t>
      </w:r>
      <w:r>
        <w:rPr>
          <w:bCs/>
          <w:b/>
        </w:rPr>
        <w:t xml:space="preserve">Mohd Fikri Rosely (2022; n = 196)</w:t>
      </w:r>
      <w:r>
        <w:t xml:space="preserve">, incluído com preocupação alta com viés e submetido a análise de sensibilidade. O outro resumo encontrado (Kofoed; Sand; Forslund, 2014) foi excluído justamente por não ter população, eventos e denominador.</w:t>
      </w:r>
    </w:p>
    <w:p>
      <w:pPr>
        <w:numPr>
          <w:ilvl w:val="0"/>
          <w:numId w:val="1027"/>
        </w:numPr>
      </w:pPr>
      <w:r>
        <w:rPr>
          <w:bCs/>
          <w:b/>
        </w:rPr>
        <w:t xml:space="preserve">Extrair da tabela, não do texto.</w:t>
      </w:r>
      <w:r>
        <w:t xml:space="preserve"> </w:t>
      </w:r>
      <w:r>
        <w:t xml:space="preserve">Em Ibrahim et al. (2025), o texto do artigo descreve a relação VEF1/CVF como menor nos expostos, mas a própria tabela de resultados mostra 91,9% versus 91,0%, ligeiramente</w:t>
      </w:r>
      <w:r>
        <w:t xml:space="preserve"> </w:t>
      </w:r>
      <w:r>
        <w:rPr>
          <w:bCs/>
          <w:b/>
        </w:rPr>
        <w:t xml:space="preserve">maior</w:t>
      </w:r>
      <w:r>
        <w:t xml:space="preserve"> </w:t>
      </w:r>
      <w:r>
        <w:t xml:space="preserve">nos expostos. Você extraiu os valores da tabela e registrou a discrepância no manuscrito. Esse é um exemplo concreto de rigor de extração para citar na defesa.</w:t>
      </w:r>
    </w:p>
    <w:bookmarkEnd w:id="81"/>
    <w:bookmarkStart w:id="82" w:name="Xf235b9e792dee77660a4487bd3a406a0d2e6431"/>
    <w:p>
      <w:pPr>
        <w:pStyle w:val="Heading4"/>
      </w:pPr>
      <w:r>
        <w:t xml:space="preserve">Anexo D em versão resumida (os dados que entraram nas sínteses)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Estudo</w:t>
            </w:r>
          </w:p>
        </w:tc>
        <w:tc>
          <w:tcPr/>
          <w:p>
            <w:pPr>
              <w:pStyle w:val="Compact"/>
              <w:jc w:val="left"/>
            </w:pPr>
            <w:r>
              <w:t xml:space="preserve">País</w:t>
            </w:r>
          </w:p>
        </w:tc>
        <w:tc>
          <w:tcPr/>
          <w:p>
            <w:pPr>
              <w:pStyle w:val="Compact"/>
              <w:jc w:val="left"/>
            </w:pPr>
            <w:r>
              <w:t xml:space="preserve">Desfecho</w:t>
            </w:r>
          </w:p>
        </w:tc>
        <w:tc>
          <w:tcPr/>
          <w:p>
            <w:pPr>
              <w:pStyle w:val="Compact"/>
              <w:jc w:val="left"/>
            </w:pPr>
            <w:r>
              <w:t xml:space="preserve">Eventos / N</w:t>
            </w:r>
          </w:p>
        </w:tc>
        <w:tc>
          <w:tcPr/>
          <w:p>
            <w:pPr>
              <w:pStyle w:val="Compact"/>
              <w:jc w:val="left"/>
            </w:pPr>
            <w:r>
              <w:t xml:space="preserve">%</w:t>
            </w:r>
          </w:p>
        </w:tc>
        <w:tc>
          <w:tcPr/>
          <w:p>
            <w:pPr>
              <w:pStyle w:val="Compact"/>
              <w:jc w:val="left"/>
            </w:pPr>
            <w:r>
              <w:t xml:space="preserve">Definição operacional</w:t>
            </w:r>
          </w:p>
        </w:tc>
        <w:tc>
          <w:tcPr/>
          <w:p>
            <w:pPr>
              <w:pStyle w:val="Compact"/>
              <w:jc w:val="left"/>
            </w:pPr>
            <w:r>
              <w:t xml:space="preserve">Taxa de resposta</w:t>
            </w:r>
          </w:p>
        </w:tc>
      </w:tr>
      <w:tr>
        <w:tc>
          <w:tcPr/>
          <w:p>
            <w:pPr>
              <w:pStyle w:val="Compact"/>
              <w:jc w:val="left"/>
            </w:pPr>
            <w:r>
              <w:t xml:space="preserve">İlçe et al., 2017</w:t>
            </w:r>
          </w:p>
        </w:tc>
        <w:tc>
          <w:tcPr/>
          <w:p>
            <w:pPr>
              <w:pStyle w:val="Compact"/>
              <w:jc w:val="left"/>
            </w:pPr>
            <w:r>
              <w:t xml:space="preserve">Turquia</w:t>
            </w:r>
          </w:p>
        </w:tc>
        <w:tc>
          <w:tcPr/>
          <w:p>
            <w:pPr>
              <w:pStyle w:val="Compact"/>
              <w:jc w:val="left"/>
            </w:pPr>
            <w:r>
              <w:t xml:space="preserve">ocular</w:t>
            </w:r>
          </w:p>
        </w:tc>
        <w:tc>
          <w:tcPr/>
          <w:p>
            <w:pPr>
              <w:pStyle w:val="Compact"/>
              <w:jc w:val="left"/>
            </w:pPr>
            <w:r>
              <w:t xml:space="preserve">33 / 81</w:t>
            </w:r>
          </w:p>
        </w:tc>
        <w:tc>
          <w:tcPr/>
          <w:p>
            <w:pPr>
              <w:pStyle w:val="Compact"/>
              <w:jc w:val="left"/>
            </w:pPr>
            <w:r>
              <w:t xml:space="preserve">40,7</w:t>
            </w:r>
          </w:p>
        </w:tc>
        <w:tc>
          <w:tcPr/>
          <w:p>
            <w:pPr>
              <w:pStyle w:val="Compact"/>
              <w:jc w:val="left"/>
            </w:pPr>
            <w:r>
              <w:t xml:space="preserve">lacrimejamento durante a cirurgia (autorrelato)</w:t>
            </w:r>
          </w:p>
        </w:tc>
        <w:tc>
          <w:tcPr/>
          <w:p>
            <w:pPr>
              <w:pStyle w:val="Compact"/>
              <w:jc w:val="left"/>
            </w:pPr>
            <w:r>
              <w:t xml:space="preserve">não informada</w:t>
            </w:r>
          </w:p>
        </w:tc>
      </w:tr>
      <w:tr>
        <w:tc>
          <w:tcPr/>
          <w:p>
            <w:pPr>
              <w:pStyle w:val="Compact"/>
              <w:jc w:val="left"/>
            </w:pPr>
            <w:r>
              <w:t xml:space="preserve">Cinar; Sanlier, 2022</w:t>
            </w:r>
          </w:p>
        </w:tc>
        <w:tc>
          <w:tcPr/>
          <w:p>
            <w:pPr>
              <w:pStyle w:val="Compact"/>
              <w:jc w:val="left"/>
            </w:pPr>
            <w:r>
              <w:t xml:space="preserve">Turquia</w:t>
            </w:r>
          </w:p>
        </w:tc>
        <w:tc>
          <w:tcPr/>
          <w:p>
            <w:pPr>
              <w:pStyle w:val="Compact"/>
              <w:jc w:val="left"/>
            </w:pPr>
            <w:r>
              <w:t xml:space="preserve">ocular</w:t>
            </w:r>
          </w:p>
        </w:tc>
        <w:tc>
          <w:tcPr/>
          <w:p>
            <w:pPr>
              <w:pStyle w:val="Compact"/>
              <w:jc w:val="left"/>
            </w:pPr>
            <w:r>
              <w:t xml:space="preserve">46 / 82</w:t>
            </w:r>
          </w:p>
        </w:tc>
        <w:tc>
          <w:tcPr/>
          <w:p>
            <w:pPr>
              <w:pStyle w:val="Compact"/>
              <w:jc w:val="left"/>
            </w:pPr>
            <w:r>
              <w:t xml:space="preserve">56,1</w:t>
            </w:r>
          </w:p>
        </w:tc>
        <w:tc>
          <w:tcPr/>
          <w:p>
            <w:pPr>
              <w:pStyle w:val="Compact"/>
              <w:jc w:val="left"/>
            </w:pPr>
            <w:r>
              <w:t xml:space="preserve">irritação ocular (autorrelato)</w:t>
            </w:r>
          </w:p>
        </w:tc>
        <w:tc>
          <w:tcPr/>
          <w:p>
            <w:pPr>
              <w:pStyle w:val="Compact"/>
              <w:jc w:val="left"/>
            </w:pPr>
            <w:r>
              <w:t xml:space="preserve">não informada</w:t>
            </w:r>
          </w:p>
        </w:tc>
      </w:tr>
      <w:tr>
        <w:tc>
          <w:tcPr/>
          <w:p>
            <w:pPr>
              <w:pStyle w:val="Compact"/>
              <w:jc w:val="left"/>
            </w:pPr>
            <w:r>
              <w:t xml:space="preserve">Usta et al., 2019</w:t>
            </w:r>
          </w:p>
        </w:tc>
        <w:tc>
          <w:tcPr/>
          <w:p>
            <w:pPr>
              <w:pStyle w:val="Compact"/>
              <w:jc w:val="left"/>
            </w:pPr>
            <w:r>
              <w:t xml:space="preserve">Turquia</w:t>
            </w:r>
          </w:p>
        </w:tc>
        <w:tc>
          <w:tcPr/>
          <w:p>
            <w:pPr>
              <w:pStyle w:val="Compact"/>
              <w:jc w:val="left"/>
            </w:pPr>
            <w:r>
              <w:t xml:space="preserve">ocular</w:t>
            </w:r>
          </w:p>
        </w:tc>
        <w:tc>
          <w:tcPr/>
          <w:p>
            <w:pPr>
              <w:pStyle w:val="Compact"/>
              <w:jc w:val="left"/>
            </w:pPr>
            <w:r>
              <w:t xml:space="preserve">57 / 105</w:t>
            </w:r>
          </w:p>
        </w:tc>
        <w:tc>
          <w:tcPr/>
          <w:p>
            <w:pPr>
              <w:pStyle w:val="Compact"/>
              <w:jc w:val="left"/>
            </w:pPr>
            <w:r>
              <w:t xml:space="preserve">54,3</w:t>
            </w:r>
          </w:p>
        </w:tc>
        <w:tc>
          <w:tcPr/>
          <w:p>
            <w:pPr>
              <w:pStyle w:val="Compact"/>
              <w:jc w:val="left"/>
            </w:pPr>
            <w:r>
              <w:t xml:space="preserve">lacrimejamento (autorrelato)</w:t>
            </w:r>
          </w:p>
        </w:tc>
        <w:tc>
          <w:tcPr/>
          <w:p>
            <w:pPr>
              <w:pStyle w:val="Compact"/>
              <w:jc w:val="left"/>
            </w:pPr>
            <w:r>
              <w:t xml:space="preserve">não informada</w:t>
            </w:r>
          </w:p>
        </w:tc>
      </w:tr>
      <w:tr>
        <w:tc>
          <w:tcPr/>
          <w:p>
            <w:pPr>
              <w:pStyle w:val="Compact"/>
              <w:jc w:val="left"/>
            </w:pPr>
            <w:r>
              <w:t xml:space="preserve">Mohd Fikri Rosely, 2022</w:t>
            </w:r>
          </w:p>
        </w:tc>
        <w:tc>
          <w:tcPr/>
          <w:p>
            <w:pPr>
              <w:pStyle w:val="Compact"/>
              <w:jc w:val="left"/>
            </w:pPr>
            <w:r>
              <w:t xml:space="preserve">Malásia</w:t>
            </w:r>
          </w:p>
        </w:tc>
        <w:tc>
          <w:tcPr/>
          <w:p>
            <w:pPr>
              <w:pStyle w:val="Compact"/>
              <w:jc w:val="left"/>
            </w:pPr>
            <w:r>
              <w:t xml:space="preserve">ocular</w:t>
            </w:r>
          </w:p>
        </w:tc>
        <w:tc>
          <w:tcPr/>
          <w:p>
            <w:pPr>
              <w:pStyle w:val="Compact"/>
              <w:jc w:val="left"/>
            </w:pPr>
            <w:r>
              <w:t xml:space="preserve">38 / 196</w:t>
            </w:r>
          </w:p>
        </w:tc>
        <w:tc>
          <w:tcPr/>
          <w:p>
            <w:pPr>
              <w:pStyle w:val="Compact"/>
              <w:jc w:val="left"/>
            </w:pPr>
            <w:r>
              <w:t xml:space="preserve">19,4</w:t>
            </w:r>
          </w:p>
        </w:tc>
        <w:tc>
          <w:tcPr/>
          <w:p>
            <w:pPr>
              <w:pStyle w:val="Compact"/>
              <w:jc w:val="left"/>
            </w:pPr>
            <w:r>
              <w:t xml:space="preserve">irritação ocular (resumo de congresso)</w:t>
            </w:r>
          </w:p>
        </w:tc>
        <w:tc>
          <w:tcPr/>
          <w:p>
            <w:pPr>
              <w:pStyle w:val="Compact"/>
              <w:jc w:val="left"/>
            </w:pPr>
            <w:r>
              <w:t xml:space="preserve">não informada</w:t>
            </w:r>
          </w:p>
        </w:tc>
      </w:tr>
      <w:tr>
        <w:tc>
          <w:tcPr/>
          <w:p>
            <w:pPr>
              <w:pStyle w:val="Compact"/>
              <w:jc w:val="left"/>
            </w:pPr>
            <w:r>
              <w:t xml:space="preserve">Mohd Fikri Rosely; Titi Rahmawati, 2019</w:t>
            </w:r>
          </w:p>
        </w:tc>
        <w:tc>
          <w:tcPr/>
          <w:p>
            <w:pPr>
              <w:pStyle w:val="Compact"/>
              <w:jc w:val="left"/>
            </w:pPr>
            <w:r>
              <w:t xml:space="preserve">Malásia</w:t>
            </w:r>
          </w:p>
        </w:tc>
        <w:tc>
          <w:tcPr/>
          <w:p>
            <w:pPr>
              <w:pStyle w:val="Compact"/>
              <w:jc w:val="left"/>
            </w:pPr>
            <w:r>
              <w:t xml:space="preserve">ocular</w:t>
            </w:r>
          </w:p>
        </w:tc>
        <w:tc>
          <w:tcPr/>
          <w:p>
            <w:pPr>
              <w:pStyle w:val="Compact"/>
              <w:jc w:val="left"/>
            </w:pPr>
            <w:r>
              <w:t xml:space="preserve">28 / 137</w:t>
            </w:r>
          </w:p>
        </w:tc>
        <w:tc>
          <w:tcPr/>
          <w:p>
            <w:pPr>
              <w:pStyle w:val="Compact"/>
              <w:jc w:val="left"/>
            </w:pPr>
            <w:r>
              <w:t xml:space="preserve">20,4</w:t>
            </w:r>
          </w:p>
        </w:tc>
        <w:tc>
          <w:tcPr/>
          <w:p>
            <w:pPr>
              <w:pStyle w:val="Compact"/>
              <w:jc w:val="left"/>
            </w:pPr>
            <w:r>
              <w:t xml:space="preserve">irritação ocular (autorrelato)</w:t>
            </w:r>
          </w:p>
        </w:tc>
        <w:tc>
          <w:tcPr/>
          <w:p>
            <w:pPr>
              <w:pStyle w:val="Compact"/>
              <w:jc w:val="left"/>
            </w:pPr>
            <w:r>
              <w:t xml:space="preserve">não informada</w:t>
            </w:r>
          </w:p>
        </w:tc>
      </w:tr>
      <w:tr>
        <w:tc>
          <w:tcPr/>
          <w:p>
            <w:pPr>
              <w:pStyle w:val="Compact"/>
              <w:jc w:val="left"/>
            </w:pPr>
            <w:r>
              <w:t xml:space="preserve">Bieniek et al., 2022</w:t>
            </w:r>
          </w:p>
        </w:tc>
        <w:tc>
          <w:tcPr/>
          <w:p>
            <w:pPr>
              <w:pStyle w:val="Compact"/>
              <w:jc w:val="left"/>
            </w:pPr>
            <w:r>
              <w:t xml:space="preserve">Brasil</w:t>
            </w:r>
          </w:p>
        </w:tc>
        <w:tc>
          <w:tcPr/>
          <w:p>
            <w:pPr>
              <w:pStyle w:val="Compact"/>
              <w:jc w:val="left"/>
            </w:pPr>
            <w:r>
              <w:t xml:space="preserve">ocular</w:t>
            </w:r>
          </w:p>
        </w:tc>
        <w:tc>
          <w:tcPr/>
          <w:p>
            <w:pPr>
              <w:pStyle w:val="Compact"/>
              <w:jc w:val="left"/>
            </w:pPr>
            <w:r>
              <w:t xml:space="preserve">67 / 155</w:t>
            </w:r>
          </w:p>
        </w:tc>
        <w:tc>
          <w:tcPr/>
          <w:p>
            <w:pPr>
              <w:pStyle w:val="Compact"/>
              <w:jc w:val="left"/>
            </w:pPr>
            <w:r>
              <w:t xml:space="preserve">43,2</w:t>
            </w:r>
          </w:p>
        </w:tc>
        <w:tc>
          <w:tcPr/>
          <w:p>
            <w:pPr>
              <w:pStyle w:val="Compact"/>
              <w:jc w:val="left"/>
            </w:pPr>
            <w:r>
              <w:t xml:space="preserve">sintomas do sistema ocular (escala de sinais e sintomas)</w:t>
            </w:r>
          </w:p>
        </w:tc>
        <w:tc>
          <w:tcPr/>
          <w:p>
            <w:pPr>
              <w:pStyle w:val="Compact"/>
              <w:jc w:val="left"/>
            </w:pPr>
            <w:r>
              <w:t xml:space="preserve">não informada</w:t>
            </w:r>
          </w:p>
        </w:tc>
      </w:tr>
      <w:tr>
        <w:tc>
          <w:tcPr/>
          <w:p>
            <w:pPr>
              <w:pStyle w:val="Compact"/>
              <w:jc w:val="left"/>
            </w:pPr>
            <w:r>
              <w:t xml:space="preserve">İlçe et al., 2017</w:t>
            </w:r>
          </w:p>
        </w:tc>
        <w:tc>
          <w:tcPr/>
          <w:p>
            <w:pPr>
              <w:pStyle w:val="Compact"/>
              <w:jc w:val="left"/>
            </w:pPr>
            <w:r>
              <w:t xml:space="preserve">Turquia</w:t>
            </w:r>
          </w:p>
        </w:tc>
        <w:tc>
          <w:tcPr/>
          <w:p>
            <w:pPr>
              <w:pStyle w:val="Compact"/>
              <w:jc w:val="left"/>
            </w:pPr>
            <w:r>
              <w:t xml:space="preserve">respiratório</w:t>
            </w:r>
          </w:p>
        </w:tc>
        <w:tc>
          <w:tcPr/>
          <w:p>
            <w:pPr>
              <w:pStyle w:val="Compact"/>
              <w:jc w:val="left"/>
            </w:pPr>
            <w:r>
              <w:t xml:space="preserve">32 / 81</w:t>
            </w:r>
          </w:p>
        </w:tc>
        <w:tc>
          <w:tcPr/>
          <w:p>
            <w:pPr>
              <w:pStyle w:val="Compact"/>
              <w:jc w:val="left"/>
            </w:pPr>
            <w:r>
              <w:t xml:space="preserve">39,5</w:t>
            </w:r>
          </w:p>
        </w:tc>
        <w:tc>
          <w:tcPr/>
          <w:p>
            <w:pPr>
              <w:pStyle w:val="Compact"/>
              <w:jc w:val="left"/>
            </w:pPr>
            <w:r>
              <w:t xml:space="preserve">tosse (autorrelato)</w:t>
            </w:r>
          </w:p>
        </w:tc>
        <w:tc>
          <w:tcPr/>
          <w:p>
            <w:pPr>
              <w:pStyle w:val="Compact"/>
              <w:jc w:val="left"/>
            </w:pPr>
            <w:r>
              <w:t xml:space="preserve">não informada</w:t>
            </w:r>
          </w:p>
        </w:tc>
      </w:tr>
      <w:tr>
        <w:tc>
          <w:tcPr/>
          <w:p>
            <w:pPr>
              <w:pStyle w:val="Compact"/>
              <w:jc w:val="left"/>
            </w:pPr>
            <w:r>
              <w:t xml:space="preserve">Cinar; Sanlier, 2022</w:t>
            </w:r>
          </w:p>
        </w:tc>
        <w:tc>
          <w:tcPr/>
          <w:p>
            <w:pPr>
              <w:pStyle w:val="Compact"/>
              <w:jc w:val="left"/>
            </w:pPr>
            <w:r>
              <w:t xml:space="preserve">Turquia</w:t>
            </w:r>
          </w:p>
        </w:tc>
        <w:tc>
          <w:tcPr/>
          <w:p>
            <w:pPr>
              <w:pStyle w:val="Compact"/>
              <w:jc w:val="left"/>
            </w:pPr>
            <w:r>
              <w:t xml:space="preserve">respiratório</w:t>
            </w:r>
          </w:p>
        </w:tc>
        <w:tc>
          <w:tcPr/>
          <w:p>
            <w:pPr>
              <w:pStyle w:val="Compact"/>
              <w:jc w:val="left"/>
            </w:pPr>
            <w:r>
              <w:t xml:space="preserve">17 / 82</w:t>
            </w:r>
          </w:p>
        </w:tc>
        <w:tc>
          <w:tcPr/>
          <w:p>
            <w:pPr>
              <w:pStyle w:val="Compact"/>
              <w:jc w:val="left"/>
            </w:pPr>
            <w:r>
              <w:t xml:space="preserve">20,7</w:t>
            </w:r>
          </w:p>
        </w:tc>
        <w:tc>
          <w:tcPr/>
          <w:p>
            <w:pPr>
              <w:pStyle w:val="Compact"/>
              <w:jc w:val="left"/>
            </w:pPr>
            <w:r>
              <w:t xml:space="preserve">tosse e ardência de garganta (autorrelato)</w:t>
            </w:r>
          </w:p>
        </w:tc>
        <w:tc>
          <w:tcPr/>
          <w:p>
            <w:pPr>
              <w:pStyle w:val="Compact"/>
              <w:jc w:val="left"/>
            </w:pPr>
            <w:r>
              <w:t xml:space="preserve">não informada</w:t>
            </w:r>
          </w:p>
        </w:tc>
      </w:tr>
      <w:tr>
        <w:tc>
          <w:tcPr/>
          <w:p>
            <w:pPr>
              <w:pStyle w:val="Compact"/>
              <w:jc w:val="left"/>
            </w:pPr>
            <w:r>
              <w:t xml:space="preserve">Usta et al., 2019</w:t>
            </w:r>
          </w:p>
        </w:tc>
        <w:tc>
          <w:tcPr/>
          <w:p>
            <w:pPr>
              <w:pStyle w:val="Compact"/>
              <w:jc w:val="left"/>
            </w:pPr>
            <w:r>
              <w:t xml:space="preserve">Turquia</w:t>
            </w:r>
          </w:p>
        </w:tc>
        <w:tc>
          <w:tcPr/>
          <w:p>
            <w:pPr>
              <w:pStyle w:val="Compact"/>
              <w:jc w:val="left"/>
            </w:pPr>
            <w:r>
              <w:t xml:space="preserve">respiratório</w:t>
            </w:r>
          </w:p>
        </w:tc>
        <w:tc>
          <w:tcPr/>
          <w:p>
            <w:pPr>
              <w:pStyle w:val="Compact"/>
              <w:jc w:val="left"/>
            </w:pPr>
            <w:r>
              <w:t xml:space="preserve">43 / 105</w:t>
            </w:r>
          </w:p>
        </w:tc>
        <w:tc>
          <w:tcPr/>
          <w:p>
            <w:pPr>
              <w:pStyle w:val="Compact"/>
              <w:jc w:val="left"/>
            </w:pPr>
            <w:r>
              <w:t xml:space="preserve">41,0</w:t>
            </w:r>
          </w:p>
        </w:tc>
        <w:tc>
          <w:tcPr/>
          <w:p>
            <w:pPr>
              <w:pStyle w:val="Compact"/>
              <w:jc w:val="left"/>
            </w:pPr>
            <w:r>
              <w:t xml:space="preserve">ardência de garganta (autorrelato)</w:t>
            </w:r>
          </w:p>
        </w:tc>
        <w:tc>
          <w:tcPr/>
          <w:p>
            <w:pPr>
              <w:pStyle w:val="Compact"/>
              <w:jc w:val="left"/>
            </w:pPr>
            <w:r>
              <w:t xml:space="preserve">não informada</w:t>
            </w:r>
          </w:p>
        </w:tc>
      </w:tr>
      <w:tr>
        <w:tc>
          <w:tcPr/>
          <w:p>
            <w:pPr>
              <w:pStyle w:val="Compact"/>
              <w:jc w:val="left"/>
            </w:pPr>
            <w:r>
              <w:t xml:space="preserve">Mohd Fikri Rosely, 2022</w:t>
            </w:r>
          </w:p>
        </w:tc>
        <w:tc>
          <w:tcPr/>
          <w:p>
            <w:pPr>
              <w:pStyle w:val="Compact"/>
              <w:jc w:val="left"/>
            </w:pPr>
            <w:r>
              <w:t xml:space="preserve">Malásia</w:t>
            </w:r>
          </w:p>
        </w:tc>
        <w:tc>
          <w:tcPr/>
          <w:p>
            <w:pPr>
              <w:pStyle w:val="Compact"/>
              <w:jc w:val="left"/>
            </w:pPr>
            <w:r>
              <w:t xml:space="preserve">respiratório</w:t>
            </w:r>
          </w:p>
        </w:tc>
        <w:tc>
          <w:tcPr/>
          <w:p>
            <w:pPr>
              <w:pStyle w:val="Compact"/>
              <w:jc w:val="left"/>
            </w:pPr>
            <w:r>
              <w:t xml:space="preserve">72 / 196</w:t>
            </w:r>
          </w:p>
        </w:tc>
        <w:tc>
          <w:tcPr/>
          <w:p>
            <w:pPr>
              <w:pStyle w:val="Compact"/>
              <w:jc w:val="left"/>
            </w:pPr>
            <w:r>
              <w:t xml:space="preserve">36,7</w:t>
            </w:r>
          </w:p>
        </w:tc>
        <w:tc>
          <w:tcPr/>
          <w:p>
            <w:pPr>
              <w:pStyle w:val="Compact"/>
              <w:jc w:val="left"/>
            </w:pPr>
            <w:r>
              <w:t xml:space="preserve">irritação de vias aéreas superiores (resumo)</w:t>
            </w:r>
          </w:p>
        </w:tc>
        <w:tc>
          <w:tcPr/>
          <w:p>
            <w:pPr>
              <w:pStyle w:val="Compact"/>
              <w:jc w:val="left"/>
            </w:pPr>
            <w:r>
              <w:t xml:space="preserve">não informada</w:t>
            </w:r>
          </w:p>
        </w:tc>
      </w:tr>
      <w:tr>
        <w:tc>
          <w:tcPr/>
          <w:p>
            <w:pPr>
              <w:pStyle w:val="Compact"/>
              <w:jc w:val="left"/>
            </w:pPr>
            <w:r>
              <w:t xml:space="preserve">Mohd Fikri Rosely; Titi Rahmawati, 2019</w:t>
            </w:r>
          </w:p>
        </w:tc>
        <w:tc>
          <w:tcPr/>
          <w:p>
            <w:pPr>
              <w:pStyle w:val="Compact"/>
              <w:jc w:val="left"/>
            </w:pPr>
            <w:r>
              <w:t xml:space="preserve">Malásia</w:t>
            </w:r>
          </w:p>
        </w:tc>
        <w:tc>
          <w:tcPr/>
          <w:p>
            <w:pPr>
              <w:pStyle w:val="Compact"/>
              <w:jc w:val="left"/>
            </w:pPr>
            <w:r>
              <w:t xml:space="preserve">respiratório</w:t>
            </w:r>
          </w:p>
        </w:tc>
        <w:tc>
          <w:tcPr/>
          <w:p>
            <w:pPr>
              <w:pStyle w:val="Compact"/>
              <w:jc w:val="left"/>
            </w:pPr>
            <w:r>
              <w:t xml:space="preserve">55 / 137</w:t>
            </w:r>
          </w:p>
        </w:tc>
        <w:tc>
          <w:tcPr/>
          <w:p>
            <w:pPr>
              <w:pStyle w:val="Compact"/>
              <w:jc w:val="left"/>
            </w:pPr>
            <w:r>
              <w:t xml:space="preserve">40,1</w:t>
            </w:r>
          </w:p>
        </w:tc>
        <w:tc>
          <w:tcPr/>
          <w:p>
            <w:pPr>
              <w:pStyle w:val="Compact"/>
              <w:jc w:val="left"/>
            </w:pPr>
            <w:r>
              <w:t xml:space="preserve">irritação de vias aéreas superiores (autorrelato)</w:t>
            </w:r>
          </w:p>
        </w:tc>
        <w:tc>
          <w:tcPr/>
          <w:p>
            <w:pPr>
              <w:pStyle w:val="Compact"/>
              <w:jc w:val="left"/>
            </w:pPr>
            <w:r>
              <w:t xml:space="preserve">não informada</w:t>
            </w:r>
          </w:p>
        </w:tc>
      </w:tr>
      <w:tr>
        <w:tc>
          <w:tcPr/>
          <w:p>
            <w:pPr>
              <w:pStyle w:val="Compact"/>
              <w:jc w:val="left"/>
            </w:pPr>
            <w:r>
              <w:t xml:space="preserve">Van Giersbergen et al., 2019</w:t>
            </w:r>
          </w:p>
        </w:tc>
        <w:tc>
          <w:tcPr/>
          <w:p>
            <w:pPr>
              <w:pStyle w:val="Compact"/>
              <w:jc w:val="left"/>
            </w:pPr>
            <w:r>
              <w:t xml:space="preserve">Turquia</w:t>
            </w:r>
          </w:p>
        </w:tc>
        <w:tc>
          <w:tcPr/>
          <w:p>
            <w:pPr>
              <w:pStyle w:val="Compact"/>
              <w:jc w:val="left"/>
            </w:pPr>
            <w:r>
              <w:t xml:space="preserve">respiratório</w:t>
            </w:r>
          </w:p>
        </w:tc>
        <w:tc>
          <w:tcPr/>
          <w:p>
            <w:pPr>
              <w:pStyle w:val="Compact"/>
              <w:jc w:val="left"/>
            </w:pPr>
            <w:r>
              <w:t xml:space="preserve">385 / 672</w:t>
            </w:r>
          </w:p>
        </w:tc>
        <w:tc>
          <w:tcPr/>
          <w:p>
            <w:pPr>
              <w:pStyle w:val="Compact"/>
              <w:jc w:val="left"/>
            </w:pPr>
            <w:r>
              <w:t xml:space="preserve">57,3</w:t>
            </w:r>
          </w:p>
        </w:tc>
        <w:tc>
          <w:tcPr/>
          <w:p>
            <w:pPr>
              <w:pStyle w:val="Compact"/>
              <w:jc w:val="left"/>
            </w:pPr>
            <w:r>
              <w:t xml:space="preserve">qualquer sintoma de vias aéreas superiores (autorrelato)</w:t>
            </w:r>
          </w:p>
        </w:tc>
        <w:tc>
          <w:tcPr/>
          <w:p>
            <w:pPr>
              <w:pStyle w:val="Compact"/>
              <w:jc w:val="left"/>
            </w:pPr>
            <w:r>
              <w:t xml:space="preserve">não informada</w:t>
            </w:r>
          </w:p>
        </w:tc>
      </w:tr>
      <w:tr>
        <w:tc>
          <w:tcPr/>
          <w:p>
            <w:pPr>
              <w:pStyle w:val="Compact"/>
              <w:jc w:val="left"/>
            </w:pPr>
            <w:r>
              <w:t xml:space="preserve">Bieniek et al., 2022</w:t>
            </w:r>
          </w:p>
        </w:tc>
        <w:tc>
          <w:tcPr/>
          <w:p>
            <w:pPr>
              <w:pStyle w:val="Compact"/>
              <w:jc w:val="left"/>
            </w:pPr>
            <w:r>
              <w:t xml:space="preserve">Brasil</w:t>
            </w:r>
          </w:p>
        </w:tc>
        <w:tc>
          <w:tcPr/>
          <w:p>
            <w:pPr>
              <w:pStyle w:val="Compact"/>
              <w:jc w:val="left"/>
            </w:pPr>
            <w:r>
              <w:t xml:space="preserve">respiratório</w:t>
            </w:r>
          </w:p>
        </w:tc>
        <w:tc>
          <w:tcPr/>
          <w:p>
            <w:pPr>
              <w:pStyle w:val="Compact"/>
              <w:jc w:val="left"/>
            </w:pPr>
            <w:r>
              <w:t xml:space="preserve">86 / 155</w:t>
            </w:r>
          </w:p>
        </w:tc>
        <w:tc>
          <w:tcPr/>
          <w:p>
            <w:pPr>
              <w:pStyle w:val="Compact"/>
              <w:jc w:val="left"/>
            </w:pPr>
            <w:r>
              <w:t xml:space="preserve">55,5</w:t>
            </w:r>
          </w:p>
        </w:tc>
        <w:tc>
          <w:tcPr/>
          <w:p>
            <w:pPr>
              <w:pStyle w:val="Compact"/>
              <w:jc w:val="left"/>
            </w:pPr>
            <w:r>
              <w:t xml:space="preserve">sintomas do sistema respiratório (escala)</w:t>
            </w:r>
          </w:p>
        </w:tc>
        <w:tc>
          <w:tcPr/>
          <w:p>
            <w:pPr>
              <w:pStyle w:val="Compact"/>
              <w:jc w:val="left"/>
            </w:pPr>
            <w:r>
              <w:t xml:space="preserve">não informada</w:t>
            </w:r>
          </w:p>
        </w:tc>
      </w:tr>
      <w:tr>
        <w:tc>
          <w:tcPr/>
          <w:p>
            <w:pPr>
              <w:pStyle w:val="Compact"/>
              <w:jc w:val="left"/>
            </w:pPr>
            <w:r>
              <w:t xml:space="preserve">Mohd Fikri Rosely, 2022</w:t>
            </w:r>
          </w:p>
        </w:tc>
        <w:tc>
          <w:tcPr/>
          <w:p>
            <w:pPr>
              <w:pStyle w:val="Compact"/>
              <w:jc w:val="left"/>
            </w:pPr>
            <w:r>
              <w:t xml:space="preserve">Malásia</w:t>
            </w:r>
          </w:p>
        </w:tc>
        <w:tc>
          <w:tcPr/>
          <w:p>
            <w:pPr>
              <w:pStyle w:val="Compact"/>
              <w:jc w:val="left"/>
            </w:pPr>
            <w:r>
              <w:t xml:space="preserve">qualquer sintoma</w:t>
            </w:r>
          </w:p>
        </w:tc>
        <w:tc>
          <w:tcPr/>
          <w:p>
            <w:pPr>
              <w:pStyle w:val="Compact"/>
              <w:jc w:val="left"/>
            </w:pPr>
            <w:r>
              <w:t xml:space="preserve">109 / 196</w:t>
            </w:r>
          </w:p>
        </w:tc>
        <w:tc>
          <w:tcPr/>
          <w:p>
            <w:pPr>
              <w:pStyle w:val="Compact"/>
              <w:jc w:val="left"/>
            </w:pPr>
            <w:r>
              <w:t xml:space="preserve">55,6</w:t>
            </w:r>
          </w:p>
        </w:tc>
        <w:tc>
          <w:tcPr/>
          <w:p>
            <w:pPr>
              <w:pStyle w:val="Compact"/>
              <w:jc w:val="left"/>
            </w:pPr>
            <w:r>
              <w:t xml:space="preserve">qualquer efeito agudo à saúde (resumo)</w:t>
            </w:r>
          </w:p>
        </w:tc>
        <w:tc>
          <w:tcPr/>
          <w:p>
            <w:pPr>
              <w:pStyle w:val="Compact"/>
              <w:jc w:val="left"/>
            </w:pPr>
            <w:r>
              <w:t xml:space="preserve">não informada</w:t>
            </w:r>
          </w:p>
        </w:tc>
      </w:tr>
      <w:tr>
        <w:tc>
          <w:tcPr/>
          <w:p>
            <w:pPr>
              <w:pStyle w:val="Compact"/>
              <w:jc w:val="left"/>
            </w:pPr>
            <w:r>
              <w:t xml:space="preserve">Van Giersbergen et al., 2019</w:t>
            </w:r>
          </w:p>
        </w:tc>
        <w:tc>
          <w:tcPr/>
          <w:p>
            <w:pPr>
              <w:pStyle w:val="Compact"/>
              <w:jc w:val="left"/>
            </w:pPr>
            <w:r>
              <w:t xml:space="preserve">Turquia</w:t>
            </w:r>
          </w:p>
        </w:tc>
        <w:tc>
          <w:tcPr/>
          <w:p>
            <w:pPr>
              <w:pStyle w:val="Compact"/>
              <w:jc w:val="left"/>
            </w:pPr>
            <w:r>
              <w:t xml:space="preserve">qualquer sintoma</w:t>
            </w:r>
          </w:p>
        </w:tc>
        <w:tc>
          <w:tcPr/>
          <w:p>
            <w:pPr>
              <w:pStyle w:val="Compact"/>
              <w:jc w:val="left"/>
            </w:pPr>
            <w:r>
              <w:t xml:space="preserve">492 / 672</w:t>
            </w:r>
          </w:p>
        </w:tc>
        <w:tc>
          <w:tcPr/>
          <w:p>
            <w:pPr>
              <w:pStyle w:val="Compact"/>
              <w:jc w:val="left"/>
            </w:pPr>
            <w:r>
              <w:t xml:space="preserve">73,2</w:t>
            </w:r>
          </w:p>
        </w:tc>
        <w:tc>
          <w:tcPr/>
          <w:p>
            <w:pPr>
              <w:pStyle w:val="Compact"/>
              <w:jc w:val="left"/>
            </w:pPr>
            <w:r>
              <w:t xml:space="preserve">qualquer sintoma relacionado à fumaça (autorrelato)</w:t>
            </w:r>
          </w:p>
        </w:tc>
        <w:tc>
          <w:tcPr/>
          <w:p>
            <w:pPr>
              <w:pStyle w:val="Compact"/>
              <w:jc w:val="left"/>
            </w:pPr>
            <w:r>
              <w:t xml:space="preserve">não informada</w:t>
            </w:r>
          </w:p>
        </w:tc>
      </w:tr>
    </w:tbl>
    <w:p>
      <w:pPr>
        <w:pStyle w:val="BodyText"/>
      </w:pPr>
      <w:r>
        <w:t xml:space="preserve">Leitura rápida da tabela:</w:t>
      </w:r>
    </w:p>
    <w:p>
      <w:pPr>
        <w:numPr>
          <w:ilvl w:val="0"/>
          <w:numId w:val="1028"/>
        </w:numPr>
        <w:pStyle w:val="Compact"/>
      </w:pPr>
      <w:r>
        <w:t xml:space="preserve">Agrupamento</w:t>
      </w:r>
      <w:r>
        <w:t xml:space="preserve"> </w:t>
      </w:r>
      <w:r>
        <w:rPr>
          <w:bCs/>
          <w:b/>
        </w:rPr>
        <w:t xml:space="preserve">ocular</w:t>
      </w:r>
      <w:r>
        <w:t xml:space="preserve">: 6 amostras, N total = 81 + 82 + 105 + 196 + 137 + 155 =</w:t>
      </w:r>
      <w:r>
        <w:t xml:space="preserve"> </w:t>
      </w:r>
      <w:r>
        <w:rPr>
          <w:bCs/>
          <w:b/>
        </w:rPr>
        <w:t xml:space="preserve">756</w:t>
      </w:r>
      <w:r>
        <w:t xml:space="preserve">; prevalências individuais de</w:t>
      </w:r>
      <w:r>
        <w:t xml:space="preserve"> </w:t>
      </w:r>
      <w:r>
        <w:rPr>
          <w:bCs/>
          <w:b/>
        </w:rPr>
        <w:t xml:space="preserve">19,4% a 56,1%</w:t>
      </w:r>
      <w:r>
        <w:t xml:space="preserve">.</w:t>
      </w:r>
    </w:p>
    <w:p>
      <w:pPr>
        <w:numPr>
          <w:ilvl w:val="0"/>
          <w:numId w:val="1028"/>
        </w:numPr>
        <w:pStyle w:val="Compact"/>
      </w:pPr>
      <w:r>
        <w:t xml:space="preserve">Agrupamento</w:t>
      </w:r>
      <w:r>
        <w:t xml:space="preserve"> </w:t>
      </w:r>
      <w:r>
        <w:rPr>
          <w:bCs/>
          <w:b/>
        </w:rPr>
        <w:t xml:space="preserve">respiratório</w:t>
      </w:r>
      <w:r>
        <w:t xml:space="preserve">: 7 amostras (as seis anteriores mais Van Giersbergen), N total =</w:t>
      </w:r>
      <w:r>
        <w:t xml:space="preserve"> </w:t>
      </w:r>
      <w:r>
        <w:rPr>
          <w:bCs/>
          <w:b/>
        </w:rPr>
        <w:t xml:space="preserve">1.428</w:t>
      </w:r>
      <w:r>
        <w:t xml:space="preserve">; prevalências individuais de</w:t>
      </w:r>
      <w:r>
        <w:t xml:space="preserve"> </w:t>
      </w:r>
      <w:r>
        <w:rPr>
          <w:bCs/>
          <w:b/>
        </w:rPr>
        <w:t xml:space="preserve">20,7% a 57,3%</w:t>
      </w:r>
      <w:r>
        <w:t xml:space="preserve">.</w:t>
      </w:r>
    </w:p>
    <w:p>
      <w:pPr>
        <w:numPr>
          <w:ilvl w:val="0"/>
          <w:numId w:val="1028"/>
        </w:numPr>
        <w:pStyle w:val="Compact"/>
      </w:pPr>
      <w:r>
        <w:rPr>
          <w:bCs/>
          <w:b/>
        </w:rPr>
        <w:t xml:space="preserve">[cálculo meu]</w:t>
      </w:r>
      <w:r>
        <w:t xml:space="preserve"> </w:t>
      </w:r>
      <w:r>
        <w:t xml:space="preserve">Somando eventos: 269/756 = 35,6% (ocular) e 690/1.428 = 48,3% (respiratório). Esses números</w:t>
      </w:r>
      <w:r>
        <w:t xml:space="preserve"> </w:t>
      </w:r>
      <w:r>
        <w:rPr>
          <w:bCs/>
          <w:b/>
        </w:rPr>
        <w:t xml:space="preserve">não</w:t>
      </w:r>
      <w:r>
        <w:t xml:space="preserve"> </w:t>
      </w:r>
      <w:r>
        <w:t xml:space="preserve">aparecem no manuscrito e</w:t>
      </w:r>
      <w:r>
        <w:t xml:space="preserve"> </w:t>
      </w:r>
      <w:r>
        <w:rPr>
          <w:bCs/>
          <w:b/>
        </w:rPr>
        <w:t xml:space="preserve">não</w:t>
      </w:r>
      <w:r>
        <w:t xml:space="preserve"> </w:t>
      </w:r>
      <w:r>
        <w:t xml:space="preserve">são o resultado da metanálise (37,6% e 41,7%). Vale saber a diferença:</w:t>
      </w:r>
      <w:r>
        <w:t xml:space="preserve"> </w:t>
      </w:r>
      <w:r>
        <w:rPr>
          <w:bCs/>
          <w:b/>
        </w:rPr>
        <w:t xml:space="preserve">[conhecimento geral]</w:t>
      </w:r>
      <w:r>
        <w:t xml:space="preserve"> </w:t>
      </w:r>
      <w:r>
        <w:t xml:space="preserve">no modelo de efeitos aleatórios os estudos recebem pesos mais parecidos entre si do que no simples somatório, então o estudo grande de Van Giersbergen (57,3%, n = 672) puxa muito a proporção bruta, mas puxa menos a estimativa combinada. Se alguém perguntar</w:t>
      </w:r>
      <w:r>
        <w:t xml:space="preserve"> </w:t>
      </w:r>
      <w:r>
        <w:t xml:space="preserve">“</w:t>
      </w:r>
      <w:r>
        <w:t xml:space="preserve">por que não somar tudo?</w:t>
      </w:r>
      <w:r>
        <w:t xml:space="preserve">”</w:t>
      </w:r>
      <w:r>
        <w:t xml:space="preserve">, a resposta é essa.</w:t>
      </w:r>
    </w:p>
    <w:p>
      <w:pPr>
        <w:numPr>
          <w:ilvl w:val="0"/>
          <w:numId w:val="1028"/>
        </w:numPr>
        <w:pStyle w:val="Compact"/>
      </w:pPr>
      <w:r>
        <w:t xml:space="preserve">A</w:t>
      </w:r>
      <w:r>
        <w:t xml:space="preserve"> </w:t>
      </w:r>
      <w:r>
        <w:rPr>
          <w:bCs/>
          <w:b/>
        </w:rPr>
        <w:t xml:space="preserve">definição varia muito</w:t>
      </w:r>
      <w:r>
        <w:t xml:space="preserve">, sobretudo no respiratório:</w:t>
      </w:r>
      <w:r>
        <w:t xml:space="preserve"> </w:t>
      </w:r>
      <w:r>
        <w:t xml:space="preserve">“</w:t>
      </w:r>
      <w:r>
        <w:t xml:space="preserve">tosse</w:t>
      </w:r>
      <w:r>
        <w:t xml:space="preserve">”</w:t>
      </w:r>
      <w:r>
        <w:t xml:space="preserve"> </w:t>
      </w:r>
      <w:r>
        <w:t xml:space="preserve">(İlçe),</w:t>
      </w:r>
      <w:r>
        <w:t xml:space="preserve"> </w:t>
      </w:r>
      <w:r>
        <w:t xml:space="preserve">“</w:t>
      </w:r>
      <w:r>
        <w:t xml:space="preserve">ardência de garganta</w:t>
      </w:r>
      <w:r>
        <w:t xml:space="preserve">”</w:t>
      </w:r>
      <w:r>
        <w:t xml:space="preserve"> </w:t>
      </w:r>
      <w:r>
        <w:t xml:space="preserve">(Usta),</w:t>
      </w:r>
      <w:r>
        <w:t xml:space="preserve"> </w:t>
      </w:r>
      <w:r>
        <w:t xml:space="preserve">“</w:t>
      </w:r>
      <w:r>
        <w:t xml:space="preserve">qualquer sintoma de vias aéreas superiores</w:t>
      </w:r>
      <w:r>
        <w:t xml:space="preserve">”</w:t>
      </w:r>
      <w:r>
        <w:t xml:space="preserve"> </w:t>
      </w:r>
      <w:r>
        <w:t xml:space="preserve">(Van Giersbergen),</w:t>
      </w:r>
      <w:r>
        <w:t xml:space="preserve"> </w:t>
      </w:r>
      <w:r>
        <w:t xml:space="preserve">“</w:t>
      </w:r>
      <w:r>
        <w:t xml:space="preserve">escala por sistema</w:t>
      </w:r>
      <w:r>
        <w:t xml:space="preserve">”</w:t>
      </w:r>
      <w:r>
        <w:t xml:space="preserve"> </w:t>
      </w:r>
      <w:r>
        <w:t xml:space="preserve">(Bieniek). É por isso que o respiratório foi tratado como</w:t>
      </w:r>
      <w:r>
        <w:t xml:space="preserve"> </w:t>
      </w:r>
      <w:r>
        <w:rPr>
          <w:bCs/>
          <w:b/>
        </w:rPr>
        <w:t xml:space="preserve">exploratório</w:t>
      </w:r>
      <w:r>
        <w:t xml:space="preserve"> </w:t>
      </w:r>
      <w:r>
        <w:t xml:space="preserve">e que a análise restrita a definições específicas (excluindo Van Giersbergen e Bieniek) reduziu o I² de 91% para 61%, com prevalência de 35,8% (IC95% 25,8–47,2; cinco estudos).</w:t>
      </w:r>
    </w:p>
    <w:p>
      <w:pPr>
        <w:numPr>
          <w:ilvl w:val="0"/>
          <w:numId w:val="1028"/>
        </w:numPr>
        <w:pStyle w:val="Compact"/>
      </w:pPr>
      <w:r>
        <w:rPr>
          <w:bCs/>
          <w:b/>
        </w:rPr>
        <w:t xml:space="preserve">Taxa de resposta:</w:t>
      </w:r>
      <w:r>
        <w:rPr>
          <w:bCs/>
          <w:b/>
        </w:rPr>
        <w:t xml:space="preserve"> </w:t>
      </w:r>
      <w:r>
        <w:rPr>
          <w:bCs/>
          <w:b/>
        </w:rPr>
        <w:t xml:space="preserve">“</w:t>
      </w:r>
      <w:r>
        <w:rPr>
          <w:bCs/>
          <w:b/>
        </w:rPr>
        <w:t xml:space="preserve">não informada</w:t>
      </w:r>
      <w:r>
        <w:rPr>
          <w:bCs/>
          <w:b/>
        </w:rPr>
        <w:t xml:space="preserve">”</w:t>
      </w:r>
      <w:r>
        <w:rPr>
          <w:bCs/>
          <w:b/>
        </w:rPr>
        <w:t xml:space="preserve"> </w:t>
      </w:r>
      <w:r>
        <w:rPr>
          <w:bCs/>
          <w:b/>
        </w:rPr>
        <w:t xml:space="preserve">nas 15 linhas</w:t>
      </w:r>
      <w:r>
        <w:t xml:space="preserve">, ou seja, nos 7 estudos. Isso vira o item 9 do JBI (sempre</w:t>
      </w:r>
      <w:r>
        <w:t xml:space="preserve"> </w:t>
      </w:r>
      <w:r>
        <w:t xml:space="preserve">“</w:t>
      </w:r>
      <w:r>
        <w:t xml:space="preserve">incerto</w:t>
      </w:r>
      <w:r>
        <w:t xml:space="preserve">”</w:t>
      </w:r>
      <w:r>
        <w:t xml:space="preserve">) e entra no rebaixamento por risco de viés no GRADE.</w:t>
      </w:r>
    </w:p>
    <w:bookmarkEnd w:id="82"/>
    <w:bookmarkStart w:id="83" w:name="X60a2e86ddf2b0757bc43ccce899b38763242083"/>
    <w:p>
      <w:pPr>
        <w:pStyle w:val="Heading4"/>
      </w:pPr>
      <w:r>
        <w:t xml:space="preserve">Quem entrou e quem ficou de fora (Anexo D1)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Relatório(s)</w:t>
            </w:r>
          </w:p>
        </w:tc>
        <w:tc>
          <w:tcPr/>
          <w:p>
            <w:pPr>
              <w:pStyle w:val="Compact"/>
              <w:jc w:val="left"/>
            </w:pPr>
            <w:r>
              <w:t xml:space="preserve">Participação</w:t>
            </w:r>
          </w:p>
        </w:tc>
      </w:tr>
      <w:tr>
        <w:tc>
          <w:tcPr/>
          <w:p>
            <w:pPr>
              <w:pStyle w:val="Compact"/>
              <w:jc w:val="left"/>
            </w:pPr>
            <w:r>
              <w:t xml:space="preserve">İlçe 2017; Cinar; Sanlier 2022; Usta 2019; Mohd Fikri Rosely 2022; Mohd Fikri Rosely; Titi Rahmawati 2019</w:t>
            </w:r>
          </w:p>
        </w:tc>
        <w:tc>
          <w:tcPr/>
          <w:p>
            <w:pPr>
              <w:pStyle w:val="Compact"/>
              <w:jc w:val="left"/>
            </w:pPr>
            <w:r>
              <w:t xml:space="preserve">metanálises ocular e respiratória</w:t>
            </w:r>
          </w:p>
        </w:tc>
      </w:tr>
      <w:tr>
        <w:tc>
          <w:tcPr/>
          <w:p>
            <w:pPr>
              <w:pStyle w:val="Compact"/>
              <w:jc w:val="left"/>
            </w:pPr>
            <w:r>
              <w:t xml:space="preserve">Van Giersbergen 2019</w:t>
            </w:r>
          </w:p>
        </w:tc>
        <w:tc>
          <w:tcPr/>
          <w:p>
            <w:pPr>
              <w:pStyle w:val="Compact"/>
              <w:jc w:val="left"/>
            </w:pPr>
            <w:r>
              <w:t xml:space="preserve">metanálise respiratória e</w:t>
            </w:r>
            <w:r>
              <w:t xml:space="preserve"> </w:t>
            </w:r>
            <w:r>
              <w:t xml:space="preserve">“</w:t>
            </w:r>
            <w:r>
              <w:t xml:space="preserve">qualquer sintoma</w:t>
            </w:r>
            <w:r>
              <w:t xml:space="preserve">”</w:t>
            </w:r>
            <w:r>
              <w:t xml:space="preserve">;</w:t>
            </w:r>
            <w:r>
              <w:t xml:space="preserve"> </w:t>
            </w:r>
            <w:r>
              <w:rPr>
                <w:bCs/>
                <w:b/>
              </w:rPr>
              <w:t xml:space="preserve">dado ocular não extraível</w:t>
            </w:r>
          </w:p>
        </w:tc>
      </w:tr>
      <w:tr>
        <w:tc>
          <w:tcPr/>
          <w:p>
            <w:pPr>
              <w:pStyle w:val="Compact"/>
              <w:jc w:val="left"/>
            </w:pPr>
            <w:r>
              <w:t xml:space="preserve">Bieniek 2022</w:t>
            </w:r>
          </w:p>
        </w:tc>
        <w:tc>
          <w:tcPr/>
          <w:p>
            <w:pPr>
              <w:pStyle w:val="Compact"/>
              <w:jc w:val="left"/>
            </w:pPr>
            <w:r>
              <w:t xml:space="preserve">metanálises ocular e respiratória (representante do cluster do Paraná)</w:t>
            </w:r>
          </w:p>
        </w:tc>
      </w:tr>
      <w:tr>
        <w:tc>
          <w:tcPr/>
          <w:p>
            <w:pPr>
              <w:pStyle w:val="Compact"/>
              <w:jc w:val="left"/>
            </w:pPr>
            <w:r>
              <w:t xml:space="preserve">Aranha 2018; Saito 2019; Stanganelli 2019; Bieniek 2025; Lopes 2025; Stanganelli Caus 2025</w:t>
            </w:r>
          </w:p>
        </w:tc>
        <w:tc>
          <w:tcPr/>
          <w:p>
            <w:pPr>
              <w:pStyle w:val="Compact"/>
              <w:jc w:val="left"/>
            </w:pPr>
            <w:r>
              <w:t xml:space="preserve">não agrupados: cluster do Paraná com sobreposição</w:t>
            </w:r>
          </w:p>
        </w:tc>
      </w:tr>
      <w:tr>
        <w:tc>
          <w:tcPr/>
          <w:p>
            <w:pPr>
              <w:pStyle w:val="Compact"/>
              <w:jc w:val="left"/>
            </w:pPr>
            <w:r>
              <w:t xml:space="preserve">Karaman Özlü 2024; Habib; Chaudhary 2023; Asdornwised 2018</w:t>
            </w:r>
          </w:p>
        </w:tc>
        <w:tc>
          <w:tcPr/>
          <w:p>
            <w:pPr>
              <w:pStyle w:val="Compact"/>
              <w:jc w:val="left"/>
            </w:pPr>
            <w:r>
              <w:t xml:space="preserve">não agrupados: sintomas não desagregados por sistema com numerador e denominador extraíveis</w:t>
            </w:r>
          </w:p>
        </w:tc>
      </w:tr>
      <w:tr>
        <w:tc>
          <w:tcPr/>
          <w:p>
            <w:pPr>
              <w:pStyle w:val="Compact"/>
              <w:jc w:val="left"/>
            </w:pPr>
            <w:r>
              <w:t xml:space="preserve">Taskingul; Kiran; Emerce 2024</w:t>
            </w:r>
          </w:p>
        </w:tc>
        <w:tc>
          <w:tcPr/>
          <w:p>
            <w:pPr>
              <w:pStyle w:val="Compact"/>
              <w:jc w:val="left"/>
            </w:pPr>
            <w:r>
              <w:t xml:space="preserve">não agrupado: só 105 dos 608 participantes atuavam em centro cirúrgico, sem numerador e denominador para esse subgrupo</w:t>
            </w:r>
          </w:p>
        </w:tc>
      </w:tr>
      <w:tr>
        <w:tc>
          <w:tcPr/>
          <w:p>
            <w:pPr>
              <w:pStyle w:val="Compact"/>
              <w:jc w:val="left"/>
            </w:pPr>
            <w:r>
              <w:t xml:space="preserve">Jadhav; Achutan 2020</w:t>
            </w:r>
          </w:p>
        </w:tc>
        <w:tc>
          <w:tcPr/>
          <w:p>
            <w:pPr>
              <w:pStyle w:val="Compact"/>
              <w:jc w:val="left"/>
            </w:pPr>
            <w:r>
              <w:t xml:space="preserve">não agrupado: foco na medição do ar (formaldeído, PM2,5, COV); amostra reduzida</w:t>
            </w:r>
          </w:p>
        </w:tc>
      </w:tr>
      <w:tr>
        <w:tc>
          <w:tcPr/>
          <w:p>
            <w:pPr>
              <w:pStyle w:val="Compact"/>
              <w:jc w:val="left"/>
            </w:pPr>
            <w:r>
              <w:t xml:space="preserve">Hu 2021; Ibrahim 2025; Canicoba 2025; Navarro 2016</w:t>
            </w:r>
          </w:p>
        </w:tc>
        <w:tc>
          <w:tcPr/>
          <w:p>
            <w:pPr>
              <w:pStyle w:val="Compact"/>
              <w:jc w:val="left"/>
            </w:pPr>
            <w:r>
              <w:t xml:space="preserve">desfechos objetivos e biomarcadores: síntese narrativa e GRADE</w:t>
            </w:r>
          </w:p>
        </w:tc>
      </w:tr>
    </w:tbl>
    <w:p>
      <w:pPr>
        <w:pStyle w:val="BodyText"/>
      </w:pPr>
      <w:r>
        <w:t xml:space="preserve">Uma fragilidade que o manuscrito admite e que você deve saber de cor: o</w:t>
      </w:r>
      <w:r>
        <w:t xml:space="preserve"> </w:t>
      </w:r>
      <w:r>
        <w:rPr>
          <w:bCs/>
          <w:b/>
        </w:rPr>
        <w:t xml:space="preserve">maior inquérito elegível (Van Giersbergen, n = 672) não entrou no agrupamento ocular</w:t>
      </w:r>
      <w:r>
        <w:t xml:space="preserve"> </w:t>
      </w:r>
      <w:r>
        <w:t xml:space="preserve">porque não reportava numerador e denominador extraíveis para esse desfecho. Resultado: o desfecho principal (ocular) se apoia em 756 participantes de estudos menores, enquanto o exploratório reúne 1.428.</w:t>
      </w:r>
    </w:p>
    <w:bookmarkEnd w:id="83"/>
    <w:bookmarkStart w:id="84" w:name="X30bd4c87735aa65377c5a0c8c6e1b68c3130476"/>
    <w:p>
      <w:pPr>
        <w:pStyle w:val="Heading4"/>
      </w:pPr>
      <w:r>
        <w:t xml:space="preserve">Desfechos objetivos e biomarcadores (Anexo D2): o que foi extraído</w:t>
      </w:r>
    </w:p>
    <w:p>
      <w:pPr>
        <w:numPr>
          <w:ilvl w:val="0"/>
          <w:numId w:val="1029"/>
        </w:numPr>
        <w:pStyle w:val="Compact"/>
      </w:pPr>
      <w:r>
        <w:rPr>
          <w:bCs/>
          <w:b/>
        </w:rPr>
        <w:t xml:space="preserve">Função pulmonar</w:t>
      </w:r>
      <w:r>
        <w:t xml:space="preserve"> </w:t>
      </w:r>
      <w:r>
        <w:t xml:space="preserve">(Ibrahim et al., 2025): 92 expostos versus 92 não expostos pareados por idade, sexo e estatura; fumantes excluídos. VEF1 2,78 vs 3,14 L; CVF 3,02 vs 3,45 L; PFE 327,5 vs 483,5 L/min (p = 0,001 nos três, Mann-Whitney); VEF1/CVF 91,9% vs 91,0% (p = 0,012). Sem medida de efeito nem IC95% no original; associação com tempo de exposição ajustada por idade e IMC.</w:t>
      </w:r>
    </w:p>
    <w:p>
      <w:pPr>
        <w:numPr>
          <w:ilvl w:val="0"/>
          <w:numId w:val="1029"/>
        </w:numPr>
        <w:pStyle w:val="Compact"/>
      </w:pPr>
      <w:r>
        <w:rPr>
          <w:bCs/>
          <w:b/>
        </w:rPr>
        <w:t xml:space="preserve">Biomarcadores urinários</w:t>
      </w:r>
      <w:r>
        <w:t xml:space="preserve"> </w:t>
      </w:r>
      <w:r>
        <w:t xml:space="preserve">(Canicoba, 2025): 52 expostos vs 49 controles para metabólitos (perda de 3 amostras do controle); 52 vs 52 para perfil oxidativo. Ácido trans,trans-mucônico 202,89 vs 46,06 µg/L; ácido metil-hipúrico 468,18 vs 184,40 µg/L; malondialdeído 9,33 vs 3,22 nmol/mg (todos p &lt; 0,001). Diferenças de médias</w:t>
      </w:r>
      <w:r>
        <w:t xml:space="preserve"> </w:t>
      </w:r>
      <w:r>
        <w:rPr>
          <w:bCs/>
          <w:b/>
        </w:rPr>
        <w:t xml:space="preserve">calculadas por vocês</w:t>
      </w:r>
      <w:r>
        <w:t xml:space="preserve"> </w:t>
      </w:r>
      <w:r>
        <w:t xml:space="preserve">(156,83; 283,78; 6,11), sem IC95% e sem ajuste.</w:t>
      </w:r>
    </w:p>
    <w:p>
      <w:pPr>
        <w:numPr>
          <w:ilvl w:val="0"/>
          <w:numId w:val="1029"/>
        </w:numPr>
        <w:pStyle w:val="Compact"/>
      </w:pPr>
      <w:r>
        <w:rPr>
          <w:bCs/>
          <w:b/>
        </w:rPr>
        <w:t xml:space="preserve">Metaplasia/hiperplasia de mucosa nasal</w:t>
      </w:r>
      <w:r>
        <w:t xml:space="preserve"> </w:t>
      </w:r>
      <w:r>
        <w:t xml:space="preserve">(Navarro et al., 2016, coorte de 4 anos): 16/23 (70%) vs 1/20 (5%);</w:t>
      </w:r>
      <w:r>
        <w:t xml:space="preserve"> </w:t>
      </w:r>
      <w:r>
        <w:rPr>
          <w:bCs/>
          <w:b/>
        </w:rPr>
        <w:t xml:space="preserve">RR 13,9 (IC95% 2,0–95,8), calculado por vocês</w:t>
      </w:r>
      <w:r>
        <w:t xml:space="preserve"> </w:t>
      </w:r>
      <w:r>
        <w:t xml:space="preserve">da tabela 2 × 2.</w:t>
      </w:r>
    </w:p>
    <w:p>
      <w:pPr>
        <w:numPr>
          <w:ilvl w:val="0"/>
          <w:numId w:val="1029"/>
        </w:numPr>
        <w:pStyle w:val="Compact"/>
      </w:pPr>
      <w:r>
        <w:rPr>
          <w:bCs/>
          <w:b/>
        </w:rPr>
        <w:t xml:space="preserve">HPV-DNA nasal</w:t>
      </w:r>
      <w:r>
        <w:t xml:space="preserve"> </w:t>
      </w:r>
      <w:r>
        <w:t xml:space="preserve">(Hu et al., 2021): 42/469 (8,96%) vs 4/231 (1,73%);</w:t>
      </w:r>
      <w:r>
        <w:t xml:space="preserve"> </w:t>
      </w:r>
      <w:r>
        <w:rPr>
          <w:bCs/>
          <w:b/>
        </w:rPr>
        <w:t xml:space="preserve">RR 5,2 (IC95% 1,9–14,2), calculado por vocês</w:t>
      </w:r>
      <w:r>
        <w:t xml:space="preserve">. Sem detecção entre usuários de N95 (0/196) vs 13,98% (33/236) com máscara comum, mas isso é comparação de subgrupo dentro dos expostos, sem ajuste.</w:t>
      </w:r>
    </w:p>
    <w:p>
      <w:pPr>
        <w:pStyle w:val="FirstParagraph"/>
      </w:pPr>
      <w:r>
        <w:rPr>
          <w:bCs/>
          <w:b/>
        </w:rPr>
        <w:t xml:space="preserve">[conhecimento geral]</w:t>
      </w:r>
      <w:r>
        <w:t xml:space="preserve"> </w:t>
      </w:r>
      <w:r>
        <w:t xml:space="preserve">Os RR foram estimados na escala logarítmica pelo método de Wald, como o manuscrito informa; o IC muito amplo da metaplasia (2,0 a 95,8) é consequência direta de haver</w:t>
      </w:r>
      <w:r>
        <w:t xml:space="preserve"> </w:t>
      </w:r>
      <w:r>
        <w:rPr>
          <w:bCs/>
          <w:b/>
        </w:rPr>
        <w:t xml:space="preserve">um único evento</w:t>
      </w:r>
      <w:r>
        <w:t xml:space="preserve"> </w:t>
      </w:r>
      <w:r>
        <w:t xml:space="preserve">no grupo não exposto.</w:t>
      </w:r>
    </w:p>
    <w:bookmarkEnd w:id="84"/>
    <w:bookmarkStart w:id="85" w:name="por-que-não-contataram-os-autores"/>
    <w:p>
      <w:pPr>
        <w:pStyle w:val="Heading4"/>
      </w:pPr>
      <w:r>
        <w:t xml:space="preserve">Por que não contataram os autores</w:t>
      </w:r>
    </w:p>
    <w:p>
      <w:pPr>
        <w:pStyle w:val="FirstParagraph"/>
      </w:pPr>
      <w:r>
        <w:t xml:space="preserve">O manuscrito</w:t>
      </w:r>
      <w:r>
        <w:t xml:space="preserve"> </w:t>
      </w:r>
      <w:r>
        <w:rPr>
          <w:bCs/>
          <w:b/>
        </w:rPr>
        <w:t xml:space="preserve">registra</w:t>
      </w:r>
      <w:r>
        <w:t xml:space="preserve"> </w:t>
      </w:r>
      <w:r>
        <w:t xml:space="preserve">a decisão (</w:t>
      </w:r>
      <w:r>
        <w:t xml:space="preserve">“</w:t>
      </w:r>
      <w:r>
        <w:t xml:space="preserve">Não se contataram os autores dos estudos para obtenção de dados adicionais</w:t>
      </w:r>
      <w:r>
        <w:t xml:space="preserve">”</w:t>
      </w:r>
      <w:r>
        <w:t xml:space="preserve">), mas</w:t>
      </w:r>
      <w:r>
        <w:t xml:space="preserve"> </w:t>
      </w:r>
      <w:r>
        <w:rPr>
          <w:bCs/>
          <w:b/>
        </w:rPr>
        <w:t xml:space="preserve">não a justifica</w:t>
      </w:r>
      <w:r>
        <w:t xml:space="preserve">. Duas coisas importantes para a defesa:</w:t>
      </w:r>
    </w:p>
    <w:p>
      <w:pPr>
        <w:numPr>
          <w:ilvl w:val="0"/>
          <w:numId w:val="1030"/>
        </w:numPr>
        <w:pStyle w:val="Compact"/>
      </w:pPr>
      <w:r>
        <w:t xml:space="preserve">Não confunda com a busca de textos completos: para os</w:t>
      </w:r>
      <w:r>
        <w:t xml:space="preserve"> </w:t>
      </w:r>
      <w:r>
        <w:rPr>
          <w:bCs/>
          <w:b/>
        </w:rPr>
        <w:t xml:space="preserve">6 relatórios não recuperados</w:t>
      </w:r>
      <w:r>
        <w:t xml:space="preserve">, o Anexo C diz que houve tentativas por acesso institucional, repositórios, preprints, páginas de autores, comutação bibliográfica</w:t>
      </w:r>
      <w:r>
        <w:t xml:space="preserve"> </w:t>
      </w:r>
      <w:r>
        <w:rPr>
          <w:bCs/>
          <w:b/>
        </w:rPr>
        <w:t xml:space="preserve">e contato com os autores correspondentes quando havia endereço</w:t>
      </w:r>
      <w:r>
        <w:t xml:space="preserve">, sem sucesso. Ou seja, houve contato para</w:t>
      </w:r>
      <w:r>
        <w:t xml:space="preserve"> </w:t>
      </w:r>
      <w:r>
        <w:rPr>
          <w:iCs/>
          <w:i/>
        </w:rPr>
        <w:t xml:space="preserve">obter o texto</w:t>
      </w:r>
      <w:r>
        <w:t xml:space="preserve">, não para</w:t>
      </w:r>
      <w:r>
        <w:t xml:space="preserve"> </w:t>
      </w:r>
      <w:r>
        <w:rPr>
          <w:iCs/>
          <w:i/>
        </w:rPr>
        <w:t xml:space="preserve">pedir dados extras</w:t>
      </w:r>
      <w:r>
        <w:t xml:space="preserve"> </w:t>
      </w:r>
      <w:r>
        <w:t xml:space="preserve">de estudos já incluídos.</w:t>
      </w:r>
    </w:p>
    <w:p>
      <w:pPr>
        <w:numPr>
          <w:ilvl w:val="0"/>
          <w:numId w:val="1030"/>
        </w:numPr>
        <w:pStyle w:val="Compact"/>
      </w:pPr>
      <w:r>
        <w:t xml:space="preserve">O custo da decisão é transparente no Anexo D1: Van Giersbergen fora do agrupamento ocular; Bieniek 2025 sem possibilidade de substituir Bieniek 2022; Karaman Özlü, Habib, Asdornwised e Taskingul fora dos agrupamentos por falta de numerador e denominador. Um contato bem-sucedido poderia ter recuperado parte disso.</w:t>
      </w:r>
    </w:p>
    <w:p>
      <w:pPr>
        <w:pStyle w:val="FirstParagraph"/>
      </w:pPr>
      <w:r>
        <w:t xml:space="preserve">Prepare uma resposta</w:t>
      </w:r>
      <w:r>
        <w:t xml:space="preserve"> </w:t>
      </w:r>
      <w:r>
        <w:rPr>
          <w:bCs/>
          <w:b/>
        </w:rPr>
        <w:t xml:space="preserve">verdadeira</w:t>
      </w:r>
      <w:r>
        <w:t xml:space="preserve"> </w:t>
      </w:r>
      <w:r>
        <w:t xml:space="preserve">para o motivo (prazo da IC, escopo de revisor único, padronização do que estava publicado). Não invente uma justificativa que não esteja no manuscrito; diga que foi uma decisão de condução, que está declarada, e que você reconhece o custo.</w:t>
      </w:r>
    </w:p>
    <w:p>
      <w:pPr>
        <w:pStyle w:val="BlockText"/>
      </w:pPr>
      <w:r>
        <w:rPr>
          <w:bCs/>
          <w:b/>
        </w:rPr>
        <w:t xml:space="preserve">O que dizer se perguntarem (extração)</w:t>
      </w:r>
    </w:p>
    <w:p>
      <w:pPr>
        <w:numPr>
          <w:ilvl w:val="0"/>
          <w:numId w:val="1031"/>
        </w:numPr>
        <w:pStyle w:val="Compact"/>
      </w:pPr>
      <w:r>
        <w:rPr>
          <w:bCs/>
          <w:b/>
        </w:rPr>
        <w:t xml:space="preserve">“</w:t>
      </w:r>
      <w:r>
        <w:rPr>
          <w:bCs/>
          <w:b/>
        </w:rPr>
        <w:t xml:space="preserve">Quem extraiu e houve dupla checagem?</w:t>
      </w:r>
      <w:r>
        <w:rPr>
          <w:bCs/>
          <w:b/>
        </w:rPr>
        <w:t xml:space="preserve">”</w:t>
      </w:r>
      <w:r>
        <w:t xml:space="preserve"> </w:t>
      </w:r>
      <w:r>
        <w:t xml:space="preserve">Um único revisor, com planilha padronizada, justificativas registradas e dados públicos no OSF. É uma limitação declarada no manuscrito; a auditabilidade (Anexo D com eventos e denominadores de cada estudo) é a compensação possível.</w:t>
      </w:r>
    </w:p>
    <w:p>
      <w:pPr>
        <w:numPr>
          <w:ilvl w:val="0"/>
          <w:numId w:val="1031"/>
        </w:numPr>
        <w:pStyle w:val="Compact"/>
      </w:pPr>
      <w:r>
        <w:rPr>
          <w:bCs/>
          <w:b/>
        </w:rPr>
        <w:t xml:space="preserve">“</w:t>
      </w:r>
      <w:r>
        <w:rPr>
          <w:bCs/>
          <w:b/>
        </w:rPr>
        <w:t xml:space="preserve">Por que não contatou os autores?</w:t>
      </w:r>
      <w:r>
        <w:rPr>
          <w:bCs/>
          <w:b/>
        </w:rPr>
        <w:t xml:space="preserve">”</w:t>
      </w:r>
      <w:r>
        <w:t xml:space="preserve"> </w:t>
      </w:r>
      <w:r>
        <w:t xml:space="preserve">Foi uma decisão de condução, declarada nos Métodos; o contato foi tentado apenas para recuperar os 6 textos completos. O custo é explícito: o maior inquérito (n = 672) ficou fora do agrupamento ocular e quatro inquéritos não puderam ser agrupados. Está listado como limitação.</w:t>
      </w:r>
    </w:p>
    <w:p>
      <w:pPr>
        <w:numPr>
          <w:ilvl w:val="0"/>
          <w:numId w:val="1031"/>
        </w:numPr>
        <w:pStyle w:val="Compact"/>
      </w:pPr>
      <w:r>
        <w:rPr>
          <w:bCs/>
          <w:b/>
        </w:rPr>
        <w:t xml:space="preserve">“</w:t>
      </w:r>
      <w:r>
        <w:rPr>
          <w:bCs/>
          <w:b/>
        </w:rPr>
        <w:t xml:space="preserve">O que é</w:t>
      </w:r>
      <w:r>
        <w:rPr>
          <w:bCs/>
          <w:b/>
        </w:rPr>
        <w:t xml:space="preserve"> </w:t>
      </w:r>
      <w:r>
        <w:rPr>
          <w:bCs/>
          <w:b/>
        </w:rPr>
        <w:t xml:space="preserve">‘</w:t>
      </w:r>
      <w:r>
        <w:rPr>
          <w:bCs/>
          <w:b/>
        </w:rPr>
        <w:t xml:space="preserve">sintoma-índice</w:t>
      </w:r>
      <w:r>
        <w:rPr>
          <w:bCs/>
          <w:b/>
        </w:rPr>
        <w:t xml:space="preserve">’</w:t>
      </w:r>
      <w:r>
        <w:rPr>
          <w:bCs/>
          <w:b/>
        </w:rPr>
        <w:t xml:space="preserve"> </w:t>
      </w:r>
      <w:r>
        <w:rPr>
          <w:bCs/>
          <w:b/>
        </w:rPr>
        <w:t xml:space="preserve">e por que decidiu depois do protocolo?</w:t>
      </w:r>
      <w:r>
        <w:rPr>
          <w:bCs/>
          <w:b/>
        </w:rPr>
        <w:t xml:space="preserve">”</w:t>
      </w:r>
      <w:r>
        <w:t xml:space="preserve"> </w:t>
      </w:r>
      <w:r>
        <w:t xml:space="preserve">É o sintoma que representa cada estudo em cada agrupamento; quando havia mais de um, escolhi o mais específico da via. A regra surgiu quando vi os dados, por isso declarei como decisão posterior ao registro, tomada sem olhar o resultado de cada estudo individual.</w:t>
      </w:r>
    </w:p>
    <w:p>
      <w:pPr>
        <w:numPr>
          <w:ilvl w:val="0"/>
          <w:numId w:val="1031"/>
        </w:numPr>
        <w:pStyle w:val="Compact"/>
      </w:pPr>
      <w:r>
        <w:rPr>
          <w:bCs/>
          <w:b/>
        </w:rPr>
        <w:t xml:space="preserve">“</w:t>
      </w:r>
      <w:r>
        <w:rPr>
          <w:bCs/>
          <w:b/>
        </w:rPr>
        <w:t xml:space="preserve">Por que Bieniek 2022 entra se mede por escala e não por pergunta direta?</w:t>
      </w:r>
      <w:r>
        <w:rPr>
          <w:bCs/>
          <w:b/>
        </w:rPr>
        <w:t xml:space="preserve">”</w:t>
      </w:r>
      <w:r>
        <w:t xml:space="preserve"> </w:t>
      </w:r>
      <w:r>
        <w:t xml:space="preserve">Porque era o único do cluster com numerador e denominador para os dois sintomas. Testei o impacto: sem ele, ocular 36,5% (I² 94%) e, no respiratório, a análise restrita a definições específicas deu 35,8% com I² caindo para 61%.</w:t>
      </w:r>
    </w:p>
    <w:p>
      <w:pPr>
        <w:numPr>
          <w:ilvl w:val="0"/>
          <w:numId w:val="1031"/>
        </w:numPr>
        <w:pStyle w:val="Compact"/>
      </w:pPr>
      <w:r>
        <w:rPr>
          <w:bCs/>
          <w:b/>
        </w:rPr>
        <w:t xml:space="preserve">“</w:t>
      </w:r>
      <w:r>
        <w:rPr>
          <w:bCs/>
          <w:b/>
        </w:rPr>
        <w:t xml:space="preserve">Por que incluir um resumo de congresso?</w:t>
      </w:r>
      <w:r>
        <w:rPr>
          <w:bCs/>
          <w:b/>
        </w:rPr>
        <w:t xml:space="preserve">”</w:t>
      </w:r>
      <w:r>
        <w:t xml:space="preserve"> </w:t>
      </w:r>
      <w:r>
        <w:t xml:space="preserve">Porque ele informava população, cenário, definição, eventos e denominador; entrou com preocupação alta e, sem ele, as estimativas foram 42,1% (ocular) e 42,4% (respiratório), sem mudar a conclusão.</w:t>
      </w:r>
    </w:p>
    <w:p>
      <w:pPr>
        <w:numPr>
          <w:ilvl w:val="0"/>
          <w:numId w:val="1031"/>
        </w:numPr>
        <w:pStyle w:val="Compact"/>
      </w:pPr>
      <w:r>
        <w:rPr>
          <w:bCs/>
          <w:b/>
        </w:rPr>
        <w:t xml:space="preserve">“</w:t>
      </w:r>
      <w:r>
        <w:rPr>
          <w:bCs/>
          <w:b/>
        </w:rPr>
        <w:t xml:space="preserve">A taxa de resposta importa?</w:t>
      </w:r>
      <w:r>
        <w:rPr>
          <w:bCs/>
          <w:b/>
        </w:rPr>
        <w:t xml:space="preserve">”</w:t>
      </w:r>
      <w:r>
        <w:t xml:space="preserve"> </w:t>
      </w:r>
      <w:r>
        <w:t xml:space="preserve">Muito: nenhum dos 7 estudos a relatou. Isso é o item 9 do JBI, ficou</w:t>
      </w:r>
      <w:r>
        <w:t xml:space="preserve"> </w:t>
      </w:r>
      <w:r>
        <w:t xml:space="preserve">“</w:t>
      </w:r>
      <w:r>
        <w:t xml:space="preserve">incerto</w:t>
      </w:r>
      <w:r>
        <w:t xml:space="preserve">”</w:t>
      </w:r>
      <w:r>
        <w:t xml:space="preserve"> </w:t>
      </w:r>
      <w:r>
        <w:t xml:space="preserve">em todos e é um dos motivos do rebaixamento por risco de viés.</w:t>
      </w:r>
    </w:p>
    <w:p>
      <w:r>
        <w:pict>
          <v:rect style="width:0;height:1.5pt" o:hralign="center" o:hrstd="t" o:hr="t"/>
        </w:pict>
      </w:r>
    </w:p>
    <w:bookmarkEnd w:id="85"/>
    <w:bookmarkEnd w:id="86"/>
    <w:bookmarkStart w:id="95" w:name="X70d35db479c09948d879efe2e2c31913cec0a5b"/>
    <w:p>
      <w:pPr>
        <w:pStyle w:val="Heading3"/>
      </w:pPr>
      <w:r>
        <w:t xml:space="preserve">Passo 5 — Risco de viés com as ferramentas do JBI</w:t>
      </w:r>
    </w:p>
    <w:bookmarkStart w:id="87" w:name="por-que-jbi-e-por-que-três-listas"/>
    <w:p>
      <w:pPr>
        <w:pStyle w:val="Heading4"/>
      </w:pPr>
      <w:r>
        <w:t xml:space="preserve">Por que JBI, e por que três listas</w:t>
      </w:r>
    </w:p>
    <w:p>
      <w:pPr>
        <w:pStyle w:val="FirstParagraph"/>
      </w:pPr>
      <w:r>
        <w:t xml:space="preserve">O manuscrito usou as</w:t>
      </w:r>
      <w:r>
        <w:t xml:space="preserve"> </w:t>
      </w:r>
      <w:r>
        <w:rPr>
          <w:bCs/>
          <w:b/>
        </w:rPr>
        <w:t xml:space="preserve">ferramentas de apreciação crítica do Joanna Briggs Institute (JBI)</w:t>
      </w:r>
      <w:r>
        <w:t xml:space="preserve">, nas</w:t>
      </w:r>
      <w:r>
        <w:t xml:space="preserve"> </w:t>
      </w:r>
      <w:r>
        <w:rPr>
          <w:bCs/>
          <w:b/>
        </w:rPr>
        <w:t xml:space="preserve">versões de 2017</w:t>
      </w:r>
      <w:r>
        <w:t xml:space="preserve">, mantidas por consistência ao longo da revisão mesmo após o JBI ter publicado versões revisadas. A escolha da lista seguiu</w:t>
      </w:r>
      <w:r>
        <w:t xml:space="preserve"> </w:t>
      </w:r>
      <w:r>
        <w:rPr>
          <w:bCs/>
          <w:b/>
        </w:rPr>
        <w:t xml:space="preserve">a finalidade de cada estudo na síntese</w:t>
      </w:r>
      <w:r>
        <w:t xml:space="preserve">, não só o delineamento: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Lista JBI</w:t>
            </w:r>
          </w:p>
        </w:tc>
        <w:tc>
          <w:tcPr/>
          <w:p>
            <w:pPr>
              <w:pStyle w:val="Compact"/>
              <w:jc w:val="left"/>
            </w:pPr>
            <w:r>
              <w:t xml:space="preserve">Itens</w:t>
            </w:r>
          </w:p>
        </w:tc>
        <w:tc>
          <w:tcPr/>
          <w:p>
            <w:pPr>
              <w:pStyle w:val="Compact"/>
              <w:jc w:val="left"/>
            </w:pPr>
            <w:r>
              <w:t xml:space="preserve">Aplicada a</w:t>
            </w:r>
          </w:p>
        </w:tc>
        <w:tc>
          <w:tcPr/>
          <w:p>
            <w:pPr>
              <w:pStyle w:val="Compact"/>
              <w:jc w:val="left"/>
            </w:pPr>
            <w:r>
              <w:t xml:space="preserve">Quantos</w:t>
            </w:r>
          </w:p>
        </w:tc>
      </w:tr>
      <w:tr>
        <w:tc>
          <w:tcPr/>
          <w:p>
            <w:pPr>
              <w:pStyle w:val="Compact"/>
              <w:jc w:val="left"/>
            </w:pPr>
            <w:r>
              <w:t xml:space="preserve">Estudos de prevalência</w:t>
            </w:r>
          </w:p>
        </w:tc>
        <w:tc>
          <w:tcPr/>
          <w:p>
            <w:pPr>
              <w:pStyle w:val="Compact"/>
              <w:jc w:val="left"/>
            </w:pPr>
            <w:r>
              <w:t xml:space="preserve">9</w:t>
            </w:r>
          </w:p>
        </w:tc>
        <w:tc>
          <w:tcPr/>
          <w:p>
            <w:pPr>
              <w:pStyle w:val="Compact"/>
              <w:jc w:val="left"/>
            </w:pPr>
            <w:r>
              <w:t xml:space="preserve">os estudos que compõem as metanálises de prevalência</w:t>
            </w:r>
          </w:p>
        </w:tc>
        <w:tc>
          <w:tcPr/>
          <w:p>
            <w:pPr>
              <w:pStyle w:val="Compact"/>
              <w:jc w:val="left"/>
            </w:pPr>
            <w:r>
              <w:t xml:space="preserve">7</w:t>
            </w:r>
          </w:p>
        </w:tc>
      </w:tr>
      <w:tr>
        <w:tc>
          <w:tcPr/>
          <w:p>
            <w:pPr>
              <w:pStyle w:val="Compact"/>
              <w:jc w:val="left"/>
            </w:pPr>
            <w:r>
              <w:t xml:space="preserve">Estudos transversais analíticos</w:t>
            </w:r>
          </w:p>
        </w:tc>
        <w:tc>
          <w:tcPr/>
          <w:p>
            <w:pPr>
              <w:pStyle w:val="Compact"/>
              <w:jc w:val="left"/>
            </w:pPr>
            <w:r>
              <w:t xml:space="preserve">8</w:t>
            </w:r>
          </w:p>
        </w:tc>
        <w:tc>
          <w:tcPr/>
          <w:p>
            <w:pPr>
              <w:pStyle w:val="Compact"/>
              <w:jc w:val="left"/>
            </w:pPr>
            <w:r>
              <w:t xml:space="preserve">os demais transversais, inclusive comparativos e de desfechos objetivos</w:t>
            </w:r>
          </w:p>
        </w:tc>
        <w:tc>
          <w:tcPr/>
          <w:p>
            <w:pPr>
              <w:pStyle w:val="Compact"/>
              <w:jc w:val="left"/>
            </w:pPr>
            <w:r>
              <w:t xml:space="preserve">12</w:t>
            </w:r>
          </w:p>
        </w:tc>
      </w:tr>
      <w:tr>
        <w:tc>
          <w:tcPr/>
          <w:p>
            <w:pPr>
              <w:pStyle w:val="Compact"/>
              <w:jc w:val="left"/>
            </w:pPr>
            <w:r>
              <w:t xml:space="preserve">Estudos de coorte</w:t>
            </w:r>
          </w:p>
        </w:tc>
        <w:tc>
          <w:tcPr/>
          <w:p>
            <w:pPr>
              <w:pStyle w:val="Compact"/>
              <w:jc w:val="left"/>
            </w:pPr>
            <w:r>
              <w:t xml:space="preserve">11</w:t>
            </w:r>
          </w:p>
        </w:tc>
        <w:tc>
          <w:tcPr/>
          <w:p>
            <w:pPr>
              <w:pStyle w:val="Compact"/>
              <w:jc w:val="left"/>
            </w:pPr>
            <w:r>
              <w:t xml:space="preserve">os três relatórios de coorte prospectiva</w:t>
            </w:r>
          </w:p>
        </w:tc>
        <w:tc>
          <w:tcPr/>
          <w:p>
            <w:pPr>
              <w:pStyle w:val="Compact"/>
              <w:jc w:val="left"/>
            </w:pPr>
            <w:r>
              <w:t xml:space="preserve">3</w:t>
            </w:r>
          </w:p>
        </w:tc>
      </w:tr>
    </w:tbl>
    <w:p>
      <w:pPr>
        <w:pStyle w:val="BodyText"/>
      </w:pPr>
      <w:r>
        <w:t xml:space="preserve">Três princípios que você deve enunciar com segurança:</w:t>
      </w:r>
    </w:p>
    <w:p>
      <w:pPr>
        <w:numPr>
          <w:ilvl w:val="0"/>
          <w:numId w:val="1032"/>
        </w:numPr>
        <w:pStyle w:val="Compact"/>
      </w:pPr>
      <w:r>
        <w:rPr>
          <w:bCs/>
          <w:b/>
        </w:rPr>
        <w:t xml:space="preserve">Pontuações de instrumentos diferentes não foram combinadas</w:t>
      </w:r>
      <w:r>
        <w:t xml:space="preserve"> </w:t>
      </w:r>
      <w:r>
        <w:t xml:space="preserve">(não existe</w:t>
      </w:r>
      <w:r>
        <w:t xml:space="preserve"> </w:t>
      </w:r>
      <w:r>
        <w:t xml:space="preserve">“</w:t>
      </w:r>
      <w:r>
        <w:t xml:space="preserve">nota média JBI</w:t>
      </w:r>
      <w:r>
        <w:t xml:space="preserve">”</w:t>
      </w:r>
      <w:r>
        <w:t xml:space="preserve"> </w:t>
      </w:r>
      <w:r>
        <w:t xml:space="preserve">na revisão).</w:t>
      </w:r>
    </w:p>
    <w:p>
      <w:pPr>
        <w:numPr>
          <w:ilvl w:val="0"/>
          <w:numId w:val="1032"/>
        </w:numPr>
        <w:pStyle w:val="Compact"/>
      </w:pPr>
      <w:r>
        <w:rPr>
          <w:bCs/>
          <w:b/>
        </w:rPr>
        <w:t xml:space="preserve">A classificação global é julgamento qualitativo orientado pelos domínios críticos</w:t>
      </w:r>
      <w:r>
        <w:t xml:space="preserve">, não corte percentual nem contagem mecânica.</w:t>
      </w:r>
    </w:p>
    <w:p>
      <w:pPr>
        <w:numPr>
          <w:ilvl w:val="0"/>
          <w:numId w:val="1032"/>
        </w:numPr>
        <w:pStyle w:val="Compact"/>
      </w:pPr>
      <w:r>
        <w:rPr>
          <w:bCs/>
          <w:b/>
        </w:rPr>
        <w:t xml:space="preserve">Nenhum estudo foi excluído pela classificação.</w:t>
      </w:r>
      <w:r>
        <w:t xml:space="preserve"> </w:t>
      </w:r>
      <w:r>
        <w:t xml:space="preserve">Todos foram mantidos e a classificação alimentou o GRADE. A análise de sensibilidade</w:t>
      </w:r>
      <w:r>
        <w:t xml:space="preserve"> </w:t>
      </w:r>
      <w:r>
        <w:t xml:space="preserve">“</w:t>
      </w:r>
      <w:r>
        <w:t xml:space="preserve">só estudos de baixa preocupação</w:t>
      </w:r>
      <w:r>
        <w:t xml:space="preserve">”</w:t>
      </w:r>
      <w:r>
        <w:t xml:space="preserve"> </w:t>
      </w:r>
      <w:r>
        <w:t xml:space="preserve">não foi factível porque nenhum dos 7 estudos agrupados alcançou baixa preocupação.</w:t>
      </w:r>
    </w:p>
    <w:p>
      <w:pPr>
        <w:pStyle w:val="FirstParagraph"/>
      </w:pPr>
      <w:r>
        <w:rPr>
          <w:bCs/>
          <w:b/>
        </w:rPr>
        <w:t xml:space="preserve">[conhecimento geral] Por que JBI e não Newcastle-Ottawa ou ROBINS-E?</w:t>
      </w:r>
    </w:p>
    <w:p>
      <w:pPr>
        <w:numPr>
          <w:ilvl w:val="0"/>
          <w:numId w:val="1033"/>
        </w:numPr>
        <w:pStyle w:val="Compact"/>
      </w:pPr>
      <w:r>
        <w:t xml:space="preserve">A</w:t>
      </w:r>
      <w:r>
        <w:t xml:space="preserve"> </w:t>
      </w:r>
      <w:r>
        <w:rPr>
          <w:bCs/>
          <w:b/>
        </w:rPr>
        <w:t xml:space="preserve">Escala de Newcastle-Ottawa (NOS)</w:t>
      </w:r>
      <w:r>
        <w:t xml:space="preserve"> </w:t>
      </w:r>
      <w:r>
        <w:t xml:space="preserve">foi desenhada para estudos de</w:t>
      </w:r>
      <w:r>
        <w:t xml:space="preserve"> </w:t>
      </w:r>
      <w:r>
        <w:rPr>
          <w:bCs/>
          <w:b/>
        </w:rPr>
        <w:t xml:space="preserve">coorte e caso-controle</w:t>
      </w:r>
      <w:r>
        <w:t xml:space="preserve">, com sistema de estrelas em três blocos (seleção, comparabilidade, desfecho/exposição). Não tem versão oficial para transversais nem para prevalência; o bloco</w:t>
      </w:r>
      <w:r>
        <w:t xml:space="preserve"> </w:t>
      </w:r>
      <w:r>
        <w:t xml:space="preserve">“</w:t>
      </w:r>
      <w:r>
        <w:t xml:space="preserve">comparabilidade</w:t>
      </w:r>
      <w:r>
        <w:t xml:space="preserve">”</w:t>
      </w:r>
      <w:r>
        <w:t xml:space="preserve"> </w:t>
      </w:r>
      <w:r>
        <w:t xml:space="preserve">pressupõe grupo comparador, que um inquérito de prevalência não tem; e os pontos de corte de estrelas são arbitrários e criticados quanto à confiabilidade entre avaliadores.</w:t>
      </w:r>
    </w:p>
    <w:p>
      <w:pPr>
        <w:numPr>
          <w:ilvl w:val="0"/>
          <w:numId w:val="1033"/>
        </w:numPr>
        <w:pStyle w:val="Compact"/>
      </w:pPr>
      <w:r>
        <w:t xml:space="preserve">A</w:t>
      </w:r>
      <w:r>
        <w:t xml:space="preserve"> </w:t>
      </w:r>
      <w:r>
        <w:rPr>
          <w:bCs/>
          <w:b/>
        </w:rPr>
        <w:t xml:space="preserve">ROBINS-E</w:t>
      </w:r>
      <w:r>
        <w:t xml:space="preserve"> </w:t>
      </w:r>
      <w:r>
        <w:t xml:space="preserve">(Risk Of Bias In Non-randomized Studies of Exposures), lançada em 2023, é uma ferramenta por domínios voltada a estudos que</w:t>
      </w:r>
      <w:r>
        <w:t xml:space="preserve"> </w:t>
      </w:r>
      <w:r>
        <w:rPr>
          <w:bCs/>
          <w:b/>
        </w:rPr>
        <w:t xml:space="preserve">estimam o efeito de uma exposição sobre um desfecho</w:t>
      </w:r>
      <w:r>
        <w:t xml:space="preserve">, com lógica de</w:t>
      </w:r>
      <w:r>
        <w:t xml:space="preserve"> </w:t>
      </w:r>
      <w:r>
        <w:t xml:space="preserve">“</w:t>
      </w:r>
      <w:r>
        <w:t xml:space="preserve">ensaio-alvo</w:t>
      </w:r>
      <w:r>
        <w:t xml:space="preserve">”</w:t>
      </w:r>
      <w:r>
        <w:t xml:space="preserve"> </w:t>
      </w:r>
      <w:r>
        <w:t xml:space="preserve">e lista de confundidores definida a priori. É trabalhosa e pensada para medidas de efeito comparativas; não se aplica a uma estimativa de frequência sem comparador.</w:t>
      </w:r>
    </w:p>
    <w:p>
      <w:pPr>
        <w:numPr>
          <w:ilvl w:val="0"/>
          <w:numId w:val="1033"/>
        </w:numPr>
        <w:pStyle w:val="Compact"/>
      </w:pPr>
      <w:r>
        <w:t xml:space="preserve">O</w:t>
      </w:r>
      <w:r>
        <w:t xml:space="preserve"> </w:t>
      </w:r>
      <w:r>
        <w:rPr>
          <w:bCs/>
          <w:b/>
        </w:rPr>
        <w:t xml:space="preserve">JBI</w:t>
      </w:r>
      <w:r>
        <w:t xml:space="preserve"> </w:t>
      </w:r>
      <w:r>
        <w:t xml:space="preserve">tem uma lista</w:t>
      </w:r>
      <w:r>
        <w:t xml:space="preserve"> </w:t>
      </w:r>
      <w:r>
        <w:rPr>
          <w:bCs/>
          <w:b/>
        </w:rPr>
        <w:t xml:space="preserve">específica para prevalência</w:t>
      </w:r>
      <w:r>
        <w:t xml:space="preserve">, alinhada ao esquema CoCoPop e ao guia de Munn et al. (2015), que o manuscrito cita, e seus domínios convergem com a ferramenta de Hoy et al. (2012), também citada. Além disso, o JBI oferece listas irmãs para transversais analíticos e coortes, o que permitiu avaliar os três tipos de estudo no mesmo</w:t>
      </w:r>
      <w:r>
        <w:t xml:space="preserve"> </w:t>
      </w:r>
      <w:r>
        <w:t xml:space="preserve">“</w:t>
      </w:r>
      <w:r>
        <w:t xml:space="preserve">ecossistema</w:t>
      </w:r>
      <w:r>
        <w:t xml:space="preserve">”</w:t>
      </w:r>
      <w:r>
        <w:t xml:space="preserve">. Se perguntarem por que não usou ROBINS-E nos quatro estudos comparativos, responda que os domínios críticos adotados (exposição, desfecho e confundidores) são os mesmos que a ROBINS-E enfatiza, e que o julgamento dificilmente seria mais favorável.</w:t>
      </w:r>
    </w:p>
    <w:bookmarkEnd w:id="87"/>
    <w:bookmarkStart w:id="88" w:name="os-itens-de-cada-lista"/>
    <w:p>
      <w:pPr>
        <w:pStyle w:val="Heading4"/>
      </w:pPr>
      <w:r>
        <w:t xml:space="preserve">Os itens de cada lista</w:t>
      </w:r>
    </w:p>
    <w:p>
      <w:pPr>
        <w:pStyle w:val="FirstParagraph"/>
      </w:pPr>
      <w:r>
        <w:rPr>
          <w:bCs/>
          <w:b/>
        </w:rPr>
        <w:t xml:space="preserve">Lista de prevalência (9 itens):</w:t>
      </w:r>
      <w:r>
        <w:t xml:space="preserve"> </w:t>
      </w:r>
      <w:r>
        <w:t xml:space="preserve">(1) representatividade do marco amostral; (2) amostragem apropriada; (3) tamanho amostral adequado; (4) sujeitos e cenário descritos; (5) cobertura da amostra na análise; (6) métodos válidos para identificação do desfecho; (7) desfecho medido de forma padronizada e confiável; (8) análise estatística apropriada; (9) taxa de resposta adequada ou manejada.</w:t>
      </w:r>
    </w:p>
    <w:p>
      <w:pPr>
        <w:pStyle w:val="BodyText"/>
      </w:pPr>
      <w:r>
        <w:rPr>
          <w:bCs/>
          <w:b/>
        </w:rPr>
        <w:t xml:space="preserve">Lista de transversais analíticos (8 itens):</w:t>
      </w:r>
      <w:r>
        <w:t xml:space="preserve"> </w:t>
      </w:r>
      <w:r>
        <w:t xml:space="preserve">(1) critérios de inclusão definidos; (2) sujeitos e cenário descritos; (3) exposição medida de forma válida e confiável; (4) critérios objetivos e padronizados para o desfecho; (5) confundidores identificados; (6) estratégias para lidar com confundidores; (7) desfecho medido de forma válida e confiável; (8) análise estatística apropriada.</w:t>
      </w:r>
    </w:p>
    <w:p>
      <w:pPr>
        <w:pStyle w:val="BodyText"/>
      </w:pPr>
      <w:r>
        <w:rPr>
          <w:bCs/>
          <w:b/>
        </w:rPr>
        <w:t xml:space="preserve">Lista de coorte (11 itens):</w:t>
      </w:r>
      <w:r>
        <w:t xml:space="preserve"> </w:t>
      </w:r>
      <w:r>
        <w:t xml:space="preserve">grupos similares e da mesma população; exposição medida igualmente nos grupos; exposição válida e confiável; confundidores identificados; estratégias para confundidores; ausência do desfecho no início; desfecho válido e confiável; seguimento reportado e suficiente; seguimento completo; estratégias para perdas; análise estatística apropriada.</w:t>
      </w:r>
    </w:p>
    <w:bookmarkEnd w:id="88"/>
    <w:bookmarkStart w:id="89" w:name="X356312a6a65e5698ab24f1d8f91da8fef9abf9e"/>
    <w:p>
      <w:pPr>
        <w:pStyle w:val="Heading4"/>
      </w:pPr>
      <w:r>
        <w:t xml:space="preserve">Domínios críticos e regra operacional de classificação global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Lista</w:t>
            </w:r>
          </w:p>
        </w:tc>
        <w:tc>
          <w:tcPr/>
          <w:p>
            <w:pPr>
              <w:pStyle w:val="Compact"/>
              <w:jc w:val="left"/>
            </w:pPr>
            <w:r>
              <w:t xml:space="preserve">Domínios críticos</w:t>
            </w:r>
          </w:p>
        </w:tc>
      </w:tr>
      <w:tr>
        <w:tc>
          <w:tcPr/>
          <w:p>
            <w:pPr>
              <w:pStyle w:val="Compact"/>
              <w:jc w:val="left"/>
            </w:pPr>
            <w:r>
              <w:t xml:space="preserve">Prevalência</w:t>
            </w:r>
          </w:p>
        </w:tc>
        <w:tc>
          <w:tcPr/>
          <w:p>
            <w:pPr>
              <w:pStyle w:val="Compact"/>
              <w:jc w:val="left"/>
            </w:pPr>
            <w:r>
              <w:t xml:space="preserve">amostragem, tamanho amostral, validade da mensuração do desfecho e taxa de resposta (correspondem aos itens 2, 3, 6 e 9); representatividade do marco amostral (item 1) e padronização da mensuração (item 7) consideradas item a item</w:t>
            </w:r>
          </w:p>
        </w:tc>
      </w:tr>
      <w:tr>
        <w:tc>
          <w:tcPr/>
          <w:p>
            <w:pPr>
              <w:pStyle w:val="Compact"/>
              <w:jc w:val="left"/>
            </w:pPr>
            <w:r>
              <w:t xml:space="preserve">Transversal analítico</w:t>
            </w:r>
          </w:p>
        </w:tc>
        <w:tc>
          <w:tcPr/>
          <w:p>
            <w:pPr>
              <w:pStyle w:val="Compact"/>
              <w:jc w:val="left"/>
            </w:pPr>
            <w:r>
              <w:t xml:space="preserve">mensuração da exposição e do desfecho e controle de confundidores (itens 3, 4, 7 e 5–6)</w:t>
            </w:r>
          </w:p>
        </w:tc>
      </w:tr>
      <w:tr>
        <w:tc>
          <w:tcPr/>
          <w:p>
            <w:pPr>
              <w:pStyle w:val="Compact"/>
              <w:jc w:val="left"/>
            </w:pPr>
            <w:r>
              <w:t xml:space="preserve">Coorte</w:t>
            </w:r>
          </w:p>
        </w:tc>
        <w:tc>
          <w:tcPr/>
          <w:p>
            <w:pPr>
              <w:pStyle w:val="Compact"/>
              <w:jc w:val="left"/>
            </w:pPr>
            <w:r>
              <w:t xml:space="preserve">comparabilidade dos grupos, mensuração da exposição e do desfecho e seguimento</w:t>
            </w:r>
          </w:p>
        </w:tc>
      </w:tr>
    </w:tbl>
    <w:p>
      <w:pPr>
        <w:pStyle w:val="BodyText"/>
      </w:pPr>
      <w:r>
        <w:rPr>
          <w:bCs/>
          <w:b/>
        </w:rPr>
        <w:t xml:space="preserve">Regra operacional (Anexo E):</w:t>
      </w:r>
    </w:p>
    <w:p>
      <w:pPr>
        <w:numPr>
          <w:ilvl w:val="0"/>
          <w:numId w:val="1034"/>
        </w:numPr>
        <w:pStyle w:val="Compact"/>
      </w:pPr>
      <w:r>
        <w:rPr>
          <w:bCs/>
          <w:b/>
        </w:rPr>
        <w:t xml:space="preserve">Baixa</w:t>
      </w:r>
      <w:r>
        <w:t xml:space="preserve">: todos os domínios críticos atendidos.</w:t>
      </w:r>
    </w:p>
    <w:p>
      <w:pPr>
        <w:numPr>
          <w:ilvl w:val="0"/>
          <w:numId w:val="1034"/>
        </w:numPr>
        <w:pStyle w:val="Compact"/>
      </w:pPr>
      <w:r>
        <w:rPr>
          <w:bCs/>
          <w:b/>
        </w:rPr>
        <w:t xml:space="preserve">Alta</w:t>
      </w:r>
      <w:r>
        <w:t xml:space="preserve">: relato insuficiente para o julgamento (caso do resumo de congresso)</w:t>
      </w:r>
      <w:r>
        <w:t xml:space="preserve"> </w:t>
      </w:r>
      <w:r>
        <w:rPr>
          <w:bCs/>
          <w:b/>
        </w:rPr>
        <w:t xml:space="preserve">ou</w:t>
      </w:r>
      <w:r>
        <w:t xml:space="preserve"> </w:t>
      </w:r>
      <w:r>
        <w:t xml:space="preserve">domínios críticos não atendidos que, considerados junto com os incertos, comprometiam a maior parte da avaliação.</w:t>
      </w:r>
    </w:p>
    <w:p>
      <w:pPr>
        <w:numPr>
          <w:ilvl w:val="0"/>
          <w:numId w:val="1034"/>
        </w:numPr>
        <w:pStyle w:val="Compact"/>
      </w:pPr>
      <w:r>
        <w:rPr>
          <w:bCs/>
          <w:b/>
        </w:rPr>
        <w:t xml:space="preserve">Moderada</w:t>
      </w:r>
      <w:r>
        <w:t xml:space="preserve">: situações intermediárias.</w:t>
      </w:r>
    </w:p>
    <w:p>
      <w:pPr>
        <w:numPr>
          <w:ilvl w:val="0"/>
          <w:numId w:val="1034"/>
        </w:numPr>
        <w:pStyle w:val="Compact"/>
      </w:pPr>
      <w:r>
        <w:t xml:space="preserve">Desempate: os julgamentos</w:t>
      </w:r>
      <w:r>
        <w:t xml:space="preserve"> </w:t>
      </w:r>
      <w:r>
        <w:rPr>
          <w:bCs/>
          <w:b/>
        </w:rPr>
        <w:t xml:space="preserve">“</w:t>
      </w:r>
      <w:r>
        <w:rPr>
          <w:bCs/>
          <w:b/>
        </w:rPr>
        <w:t xml:space="preserve">não</w:t>
      </w:r>
      <w:r>
        <w:rPr>
          <w:bCs/>
          <w:b/>
        </w:rPr>
        <w:t xml:space="preserve">”</w:t>
      </w:r>
      <w:r>
        <w:rPr>
          <w:bCs/>
          <w:b/>
        </w:rPr>
        <w:t xml:space="preserve"> </w:t>
      </w:r>
      <w:r>
        <w:rPr>
          <w:bCs/>
          <w:b/>
        </w:rPr>
        <w:t xml:space="preserve">pesam mais do que</w:t>
      </w:r>
      <w:r>
        <w:rPr>
          <w:bCs/>
          <w:b/>
        </w:rPr>
        <w:t xml:space="preserve"> </w:t>
      </w:r>
      <w:r>
        <w:rPr>
          <w:bCs/>
          <w:b/>
        </w:rPr>
        <w:t xml:space="preserve">“</w:t>
      </w:r>
      <w:r>
        <w:rPr>
          <w:bCs/>
          <w:b/>
        </w:rPr>
        <w:t xml:space="preserve">incerto</w:t>
      </w:r>
      <w:r>
        <w:rPr>
          <w:bCs/>
          <w:b/>
        </w:rPr>
        <w:t xml:space="preserve">”</w:t>
      </w:r>
      <w:r>
        <w:t xml:space="preserve">, e</w:t>
      </w:r>
      <w:r>
        <w:t xml:space="preserve"> </w:t>
      </w:r>
      <w:r>
        <w:rPr>
          <w:bCs/>
          <w:b/>
        </w:rPr>
        <w:t xml:space="preserve">um domínio crítico não atendido acompanhado de vários incertos conduz a preocupação alta</w:t>
      </w:r>
      <w:r>
        <w:t xml:space="preserve">.</w:t>
      </w:r>
    </w:p>
    <w:bookmarkEnd w:id="89"/>
    <w:bookmarkStart w:id="90" w:name="o-que-significam-e"/>
    <w:p>
      <w:pPr>
        <w:pStyle w:val="Heading4"/>
      </w:pPr>
      <w:r>
        <w:t xml:space="preserve">O que significam +, ? e −</w:t>
      </w:r>
    </w:p>
    <w:p>
      <w:pPr>
        <w:numPr>
          <w:ilvl w:val="0"/>
          <w:numId w:val="1035"/>
        </w:numPr>
        <w:pStyle w:val="Compact"/>
      </w:pPr>
      <w:r>
        <w:rPr>
          <w:bCs/>
          <w:b/>
        </w:rPr>
        <w:t xml:space="preserve">+ (verde,</w:t>
      </w:r>
      <w:r>
        <w:rPr>
          <w:bCs/>
          <w:b/>
        </w:rPr>
        <w:t xml:space="preserve"> </w:t>
      </w:r>
      <w:r>
        <w:rPr>
          <w:bCs/>
          <w:b/>
        </w:rPr>
        <w:t xml:space="preserve">“</w:t>
      </w:r>
      <w:r>
        <w:rPr>
          <w:bCs/>
          <w:b/>
        </w:rPr>
        <w:t xml:space="preserve">sim</w:t>
      </w:r>
      <w:r>
        <w:rPr>
          <w:bCs/>
          <w:b/>
        </w:rPr>
        <w:t xml:space="preserve">”</w:t>
      </w:r>
      <w:r>
        <w:rPr>
          <w:bCs/>
          <w:b/>
        </w:rPr>
        <w:t xml:space="preserve">)</w:t>
      </w:r>
      <w:r>
        <w:t xml:space="preserve">: atendimento claramente demonstrado.</w:t>
      </w:r>
    </w:p>
    <w:p>
      <w:pPr>
        <w:numPr>
          <w:ilvl w:val="0"/>
          <w:numId w:val="1035"/>
        </w:numPr>
        <w:pStyle w:val="Compact"/>
      </w:pPr>
      <w:r>
        <w:rPr>
          <w:bCs/>
          <w:b/>
        </w:rPr>
        <w:t xml:space="preserve">− (vermelho,</w:t>
      </w:r>
      <w:r>
        <w:rPr>
          <w:bCs/>
          <w:b/>
        </w:rPr>
        <w:t xml:space="preserve"> </w:t>
      </w:r>
      <w:r>
        <w:rPr>
          <w:bCs/>
          <w:b/>
        </w:rPr>
        <w:t xml:space="preserve">“</w:t>
      </w:r>
      <w:r>
        <w:rPr>
          <w:bCs/>
          <w:b/>
        </w:rPr>
        <w:t xml:space="preserve">não</w:t>
      </w:r>
      <w:r>
        <w:rPr>
          <w:bCs/>
          <w:b/>
        </w:rPr>
        <w:t xml:space="preserve">”</w:t>
      </w:r>
      <w:r>
        <w:rPr>
          <w:bCs/>
          <w:b/>
        </w:rPr>
        <w:t xml:space="preserve">)</w:t>
      </w:r>
      <w:r>
        <w:t xml:space="preserve">: o critério foi informado no relatório e</w:t>
      </w:r>
      <w:r>
        <w:t xml:space="preserve"> </w:t>
      </w:r>
      <w:r>
        <w:rPr>
          <w:bCs/>
          <w:b/>
        </w:rPr>
        <w:t xml:space="preserve">não</w:t>
      </w:r>
      <w:r>
        <w:t xml:space="preserve"> </w:t>
      </w:r>
      <w:r>
        <w:t xml:space="preserve">foi atendido. Pressupõe informação disponível que contraria o critério.</w:t>
      </w:r>
    </w:p>
    <w:p>
      <w:pPr>
        <w:numPr>
          <w:ilvl w:val="0"/>
          <w:numId w:val="1035"/>
        </w:numPr>
        <w:pStyle w:val="Compact"/>
      </w:pPr>
      <w:r>
        <w:rPr>
          <w:bCs/>
          <w:b/>
        </w:rPr>
        <w:t xml:space="preserve">? (amarelo,</w:t>
      </w:r>
      <w:r>
        <w:rPr>
          <w:bCs/>
          <w:b/>
        </w:rPr>
        <w:t xml:space="preserve"> </w:t>
      </w:r>
      <w:r>
        <w:rPr>
          <w:bCs/>
          <w:b/>
        </w:rPr>
        <w:t xml:space="preserve">“</w:t>
      </w:r>
      <w:r>
        <w:rPr>
          <w:bCs/>
          <w:b/>
        </w:rPr>
        <w:t xml:space="preserve">incerto</w:t>
      </w:r>
      <w:r>
        <w:rPr>
          <w:bCs/>
          <w:b/>
        </w:rPr>
        <w:t xml:space="preserve">”</w:t>
      </w:r>
      <w:r>
        <w:rPr>
          <w:bCs/>
          <w:b/>
        </w:rPr>
        <w:t xml:space="preserve">)</w:t>
      </w:r>
      <w:r>
        <w:t xml:space="preserve">: informação</w:t>
      </w:r>
      <w:r>
        <w:t xml:space="preserve"> </w:t>
      </w:r>
      <w:r>
        <w:rPr>
          <w:bCs/>
          <w:b/>
        </w:rPr>
        <w:t xml:space="preserve">insuficiente</w:t>
      </w:r>
      <w:r>
        <w:t xml:space="preserve"> </w:t>
      </w:r>
      <w:r>
        <w:t xml:space="preserve">no relatório para julgar. Decorre de ausência de informação.</w:t>
      </w:r>
    </w:p>
    <w:p>
      <w:pPr>
        <w:numPr>
          <w:ilvl w:val="0"/>
          <w:numId w:val="1035"/>
        </w:numPr>
        <w:pStyle w:val="Compact"/>
      </w:pPr>
      <w:r>
        <w:rPr>
          <w:bCs/>
          <w:b/>
        </w:rPr>
        <w:t xml:space="preserve">“</w:t>
      </w:r>
      <w:r>
        <w:rPr>
          <w:bCs/>
          <w:b/>
        </w:rPr>
        <w:t xml:space="preserve">Não aplicável</w:t>
      </w:r>
      <w:r>
        <w:rPr>
          <w:bCs/>
          <w:b/>
        </w:rPr>
        <w:t xml:space="preserve">”</w:t>
      </w:r>
      <w:r>
        <w:t xml:space="preserve"> </w:t>
      </w:r>
      <w:r>
        <w:t xml:space="preserve">ficaria reservado a itens não pertinentes ao delineamento, mas não foi usado: os 8 itens da lista transversal foram aplicados a todos os estudos.</w:t>
      </w:r>
    </w:p>
    <w:p>
      <w:pPr>
        <w:pStyle w:val="FirstParagraph"/>
      </w:pPr>
      <w:r>
        <w:t xml:space="preserve">A diferença entre</w:t>
      </w:r>
      <w:r>
        <w:t xml:space="preserve"> </w:t>
      </w:r>
      <w:r>
        <w:t xml:space="preserve">“</w:t>
      </w:r>
      <w:r>
        <w:t xml:space="preserve">−</w:t>
      </w:r>
      <w:r>
        <w:t xml:space="preserve">”</w:t>
      </w:r>
      <w:r>
        <w:t xml:space="preserve"> </w:t>
      </w:r>
      <w:r>
        <w:t xml:space="preserve">e</w:t>
      </w:r>
      <w:r>
        <w:t xml:space="preserve"> </w:t>
      </w:r>
      <w:r>
        <w:t xml:space="preserve">“</w:t>
      </w:r>
      <w:r>
        <w:t xml:space="preserve">?</w:t>
      </w:r>
      <w:r>
        <w:t xml:space="preserve">”</w:t>
      </w:r>
      <w:r>
        <w:t xml:space="preserve"> </w:t>
      </w:r>
      <w:r>
        <w:t xml:space="preserve">é uma pergunta clássica de banca:</w:t>
      </w:r>
      <w:r>
        <w:t xml:space="preserve"> </w:t>
      </w:r>
      <w:r>
        <w:t xml:space="preserve">“</w:t>
      </w:r>
      <w:r>
        <w:t xml:space="preserve">não</w:t>
      </w:r>
      <w:r>
        <w:t xml:space="preserve">”</w:t>
      </w:r>
      <w:r>
        <w:t xml:space="preserve"> </w:t>
      </w:r>
      <w:r>
        <w:t xml:space="preserve">é um problema demonstrado;</w:t>
      </w:r>
      <w:r>
        <w:t xml:space="preserve"> </w:t>
      </w:r>
      <w:r>
        <w:t xml:space="preserve">“</w:t>
      </w:r>
      <w:r>
        <w:t xml:space="preserve">incerto</w:t>
      </w:r>
      <w:r>
        <w:t xml:space="preserve">”</w:t>
      </w:r>
      <w:r>
        <w:t xml:space="preserve"> </w:t>
      </w:r>
      <w:r>
        <w:t xml:space="preserve">é um problema de relato. É por isso que</w:t>
      </w:r>
      <w:r>
        <w:t xml:space="preserve"> </w:t>
      </w:r>
      <w:r>
        <w:t xml:space="preserve">“</w:t>
      </w:r>
      <w:r>
        <w:t xml:space="preserve">não</w:t>
      </w:r>
      <w:r>
        <w:t xml:space="preserve">”</w:t>
      </w:r>
      <w:r>
        <w:t xml:space="preserve"> </w:t>
      </w:r>
      <w:r>
        <w:t xml:space="preserve">pesa mais.</w:t>
      </w:r>
    </w:p>
    <w:bookmarkEnd w:id="90"/>
    <w:bookmarkStart w:id="91" w:name="X804902483f44a8c4ef261711b5f391f2917d5ed"/>
    <w:p>
      <w:pPr>
        <w:pStyle w:val="Heading4"/>
      </w:pPr>
      <w:r>
        <w:t xml:space="preserve">Resultado 1: os 7 estudos das metanálises (Figura E1, transcrita)</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Estudo</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Global</w:t>
            </w:r>
          </w:p>
        </w:tc>
      </w:tr>
      <w:tr>
        <w:tc>
          <w:tcPr/>
          <w:p>
            <w:pPr>
              <w:pStyle w:val="Compact"/>
              <w:jc w:val="left"/>
            </w:pPr>
            <w:r>
              <w:t xml:space="preserve">İlçe et al., 2017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Cinar; Sanlier, 2022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r>
        <w:tc>
          <w:tcPr/>
          <w:p>
            <w:pPr>
              <w:pStyle w:val="Compact"/>
              <w:jc w:val="left"/>
            </w:pPr>
            <w:r>
              <w:t xml:space="preserve">Usta et al., 2019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Mohd Fikri Rosely; Titi Rahmawati, 2019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r>
        <w:tc>
          <w:tcPr/>
          <w:p>
            <w:pPr>
              <w:pStyle w:val="Compact"/>
              <w:jc w:val="left"/>
            </w:pPr>
            <w:r>
              <w:t xml:space="preserve">Van Giersbergen et al., 2019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Bieniek et al., 2022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r>
        <w:tc>
          <w:tcPr/>
          <w:p>
            <w:pPr>
              <w:pStyle w:val="Compact"/>
              <w:jc w:val="left"/>
            </w:pPr>
            <w:r>
              <w:t xml:space="preserve">Mohd Fikri Rosely, 2022 (resumo)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bl>
    <w:p>
      <w:pPr>
        <w:pStyle w:val="BodyText"/>
      </w:pPr>
      <w:r>
        <w:t xml:space="preserve">Veja como a regra reproduz o julgamento global, caso a caso:</w:t>
      </w:r>
    </w:p>
    <w:p>
      <w:pPr>
        <w:numPr>
          <w:ilvl w:val="0"/>
          <w:numId w:val="1036"/>
        </w:numPr>
        <w:pStyle w:val="Compact"/>
      </w:pPr>
      <w:r>
        <w:rPr>
          <w:bCs/>
          <w:b/>
        </w:rPr>
        <w:t xml:space="preserve">Cinar 2022 e Bieniek 2022</w:t>
      </w:r>
      <w:r>
        <w:t xml:space="preserve">: nenhum</w:t>
      </w:r>
      <w:r>
        <w:t xml:space="preserve"> </w:t>
      </w:r>
      <w:r>
        <w:t xml:space="preserve">“</w:t>
      </w:r>
      <w:r>
        <w:t xml:space="preserve">−</w:t>
      </w:r>
      <w:r>
        <w:t xml:space="preserve">”</w:t>
      </w:r>
      <w:r>
        <w:t xml:space="preserve">; três domínios críticos incertos (itens 2, 3 e 9) e validade do desfecho atendida (item 6</w:t>
      </w:r>
      <w:r>
        <w:t xml:space="preserve"> </w:t>
      </w:r>
      <w:r>
        <w:t xml:space="preserve">“</w:t>
      </w:r>
      <w:r>
        <w:t xml:space="preserve">+</w:t>
      </w:r>
      <w:r>
        <w:t xml:space="preserve">”</w:t>
      </w:r>
      <w:r>
        <w:t xml:space="preserve">) →</w:t>
      </w:r>
      <w:r>
        <w:t xml:space="preserve"> </w:t>
      </w:r>
      <w:r>
        <w:rPr>
          <w:bCs/>
          <w:b/>
        </w:rPr>
        <w:t xml:space="preserve">moderada</w:t>
      </w:r>
      <w:r>
        <w:t xml:space="preserve">.</w:t>
      </w:r>
    </w:p>
    <w:p>
      <w:pPr>
        <w:numPr>
          <w:ilvl w:val="0"/>
          <w:numId w:val="1036"/>
        </w:numPr>
        <w:pStyle w:val="Compact"/>
      </w:pPr>
      <w:r>
        <w:rPr>
          <w:bCs/>
          <w:b/>
        </w:rPr>
        <w:t xml:space="preserve">Mohd Fikri Rosely; Titi Rahmawati 2019</w:t>
      </w:r>
      <w:r>
        <w:t xml:space="preserve">: único estudo com</w:t>
      </w:r>
      <w:r>
        <w:t xml:space="preserve"> </w:t>
      </w:r>
      <w:r>
        <w:rPr>
          <w:bCs/>
          <w:b/>
        </w:rPr>
        <w:t xml:space="preserve">amostragem aleatória estratificada e cálculo do tamanho amostral</w:t>
      </w:r>
      <w:r>
        <w:t xml:space="preserve"> </w:t>
      </w:r>
      <w:r>
        <w:t xml:space="preserve">(itens 2 e 3</w:t>
      </w:r>
      <w:r>
        <w:t xml:space="preserve"> </w:t>
      </w:r>
      <w:r>
        <w:t xml:space="preserve">“</w:t>
      </w:r>
      <w:r>
        <w:t xml:space="preserve">+</w:t>
      </w:r>
      <w:r>
        <w:t xml:space="preserve">”</w:t>
      </w:r>
      <w:r>
        <w:t xml:space="preserve">); um crítico não atendido (item 6</w:t>
      </w:r>
      <w:r>
        <w:t xml:space="preserve"> </w:t>
      </w:r>
      <w:r>
        <w:t xml:space="preserve">“</w:t>
      </w:r>
      <w:r>
        <w:t xml:space="preserve">−</w:t>
      </w:r>
      <w:r>
        <w:t xml:space="preserve">”</w:t>
      </w:r>
      <w:r>
        <w:t xml:space="preserve">) e só um incerto (item 9) →</w:t>
      </w:r>
      <w:r>
        <w:t xml:space="preserve"> </w:t>
      </w:r>
      <w:r>
        <w:rPr>
          <w:bCs/>
          <w:b/>
        </w:rPr>
        <w:t xml:space="preserve">moderada</w:t>
      </w:r>
      <w:r>
        <w:t xml:space="preserve">. Não</w:t>
      </w:r>
      <w:r>
        <w:t xml:space="preserve"> </w:t>
      </w:r>
      <w:r>
        <w:t xml:space="preserve">“</w:t>
      </w:r>
      <w:r>
        <w:t xml:space="preserve">compromete a maior parte</w:t>
      </w:r>
      <w:r>
        <w:t xml:space="preserve">”</w:t>
      </w:r>
      <w:r>
        <w:t xml:space="preserve">.</w:t>
      </w:r>
    </w:p>
    <w:p>
      <w:pPr>
        <w:numPr>
          <w:ilvl w:val="0"/>
          <w:numId w:val="1036"/>
        </w:numPr>
        <w:pStyle w:val="Compact"/>
      </w:pPr>
      <w:r>
        <w:rPr>
          <w:bCs/>
          <w:b/>
        </w:rPr>
        <w:t xml:space="preserve">İlçe 2017 e Usta 2019</w:t>
      </w:r>
      <w:r>
        <w:t xml:space="preserve">: item 6</w:t>
      </w:r>
      <w:r>
        <w:t xml:space="preserve"> </w:t>
      </w:r>
      <w:r>
        <w:t xml:space="preserve">“</w:t>
      </w:r>
      <w:r>
        <w:t xml:space="preserve">−</w:t>
      </w:r>
      <w:r>
        <w:t xml:space="preserve">”</w:t>
      </w:r>
      <w:r>
        <w:t xml:space="preserve"> </w:t>
      </w:r>
      <w:r>
        <w:t xml:space="preserve">acompanhado de três críticos incertos (2, 3 e 9) → exatamente a situação</w:t>
      </w:r>
      <w:r>
        <w:t xml:space="preserve"> </w:t>
      </w:r>
      <w:r>
        <w:t xml:space="preserve">“</w:t>
      </w:r>
      <w:r>
        <w:t xml:space="preserve">um crítico não atendido + vários incertos</w:t>
      </w:r>
      <w:r>
        <w:t xml:space="preserve">”</w:t>
      </w:r>
      <w:r>
        <w:t xml:space="preserve"> </w:t>
      </w:r>
      <w:r>
        <w:t xml:space="preserve">→</w:t>
      </w:r>
      <w:r>
        <w:t xml:space="preserve"> </w:t>
      </w:r>
      <w:r>
        <w:rPr>
          <w:bCs/>
          <w:b/>
        </w:rPr>
        <w:t xml:space="preserve">alta</w:t>
      </w:r>
      <w:r>
        <w:t xml:space="preserve">.</w:t>
      </w:r>
    </w:p>
    <w:p>
      <w:pPr>
        <w:numPr>
          <w:ilvl w:val="0"/>
          <w:numId w:val="1036"/>
        </w:numPr>
        <w:pStyle w:val="Compact"/>
      </w:pPr>
      <w:r>
        <w:rPr>
          <w:bCs/>
          <w:b/>
        </w:rPr>
        <w:t xml:space="preserve">Van Giersbergen 2019</w:t>
      </w:r>
      <w:r>
        <w:t xml:space="preserve">:</w:t>
      </w:r>
      <w:r>
        <w:t xml:space="preserve"> </w:t>
      </w:r>
      <w:r>
        <w:rPr>
          <w:bCs/>
          <w:b/>
        </w:rPr>
        <w:t xml:space="preserve">dois</w:t>
      </w:r>
      <w:r>
        <w:t xml:space="preserve"> </w:t>
      </w:r>
      <w:r>
        <w:t xml:space="preserve">críticos não atendidos (amostragem, item 2, e validade do desfecho, item 6) →</w:t>
      </w:r>
      <w:r>
        <w:t xml:space="preserve"> </w:t>
      </w:r>
      <w:r>
        <w:rPr>
          <w:bCs/>
          <w:b/>
        </w:rPr>
        <w:t xml:space="preserve">alta</w:t>
      </w:r>
      <w:r>
        <w:t xml:space="preserve">.</w:t>
      </w:r>
    </w:p>
    <w:p>
      <w:pPr>
        <w:numPr>
          <w:ilvl w:val="0"/>
          <w:numId w:val="1036"/>
        </w:numPr>
        <w:pStyle w:val="Compact"/>
      </w:pPr>
      <w:r>
        <w:rPr>
          <w:bCs/>
          <w:b/>
        </w:rPr>
        <w:t xml:space="preserve">Mohd Fikri Rosely 2022</w:t>
      </w:r>
      <w:r>
        <w:t xml:space="preserve">: resumo de congresso; os nove itens ficaram incertos →</w:t>
      </w:r>
      <w:r>
        <w:t xml:space="preserve"> </w:t>
      </w:r>
      <w:r>
        <w:rPr>
          <w:bCs/>
          <w:b/>
        </w:rPr>
        <w:t xml:space="preserve">alta por relato insuficiente</w:t>
      </w:r>
      <w:r>
        <w:t xml:space="preserve">.</w:t>
      </w:r>
    </w:p>
    <w:p>
      <w:pPr>
        <w:pStyle w:val="FirstParagraph"/>
      </w:pPr>
      <w:r>
        <w:t xml:space="preserve">Por que</w:t>
      </w:r>
      <w:r>
        <w:t xml:space="preserve"> </w:t>
      </w:r>
      <w:r>
        <w:rPr>
          <w:bCs/>
          <w:b/>
        </w:rPr>
        <w:t xml:space="preserve">ninguém alcançou baixa</w:t>
      </w:r>
      <w:r>
        <w:t xml:space="preserve">: o item 9 (taxa de resposta) está</w:t>
      </w:r>
      <w:r>
        <w:t xml:space="preserve"> </w:t>
      </w:r>
      <w:r>
        <w:t xml:space="preserve">“</w:t>
      </w:r>
      <w:r>
        <w:t xml:space="preserve">incerto</w:t>
      </w:r>
      <w:r>
        <w:t xml:space="preserve">”</w:t>
      </w:r>
      <w:r>
        <w:t xml:space="preserve"> </w:t>
      </w:r>
      <w:r>
        <w:t xml:space="preserve">nas sete linhas, porque nenhum estudo a relatou. Como taxa de resposta é domínio crítico,</w:t>
      </w:r>
      <w:r>
        <w:t xml:space="preserve"> </w:t>
      </w:r>
      <w:r>
        <w:t xml:space="preserve">“</w:t>
      </w:r>
      <w:r>
        <w:t xml:space="preserve">todos os críticos atendidos</w:t>
      </w:r>
      <w:r>
        <w:t xml:space="preserve">”</w:t>
      </w:r>
      <w:r>
        <w:t xml:space="preserve"> </w:t>
      </w:r>
      <w:r>
        <w:t xml:space="preserve">era impossível. Some-se a isso que a amostragem raramente foi probabilística (itens 2 e 3</w:t>
      </w:r>
      <w:r>
        <w:t xml:space="preserve"> </w:t>
      </w:r>
      <w:r>
        <w:t xml:space="preserve">“</w:t>
      </w:r>
      <w:r>
        <w:t xml:space="preserve">incerto</w:t>
      </w:r>
      <w:r>
        <w:t xml:space="preserve">”</w:t>
      </w:r>
      <w:r>
        <w:t xml:space="preserve"> </w:t>
      </w:r>
      <w:r>
        <w:t xml:space="preserve">ou</w:t>
      </w:r>
      <w:r>
        <w:t xml:space="preserve"> </w:t>
      </w:r>
      <w:r>
        <w:t xml:space="preserve">“</w:t>
      </w:r>
      <w:r>
        <w:t xml:space="preserve">não</w:t>
      </w:r>
      <w:r>
        <w:t xml:space="preserve">”</w:t>
      </w:r>
      <w:r>
        <w:t xml:space="preserve"> </w:t>
      </w:r>
      <w:r>
        <w:t xml:space="preserve">em seis dos sete).</w:t>
      </w:r>
    </w:p>
    <w:p>
      <w:pPr>
        <w:pStyle w:val="BodyText"/>
      </w:pPr>
      <w:r>
        <w:t xml:space="preserve">O motivo do</w:t>
      </w:r>
      <w:r>
        <w:t xml:space="preserve"> </w:t>
      </w:r>
      <w:r>
        <w:t xml:space="preserve">“</w:t>
      </w:r>
      <w:r>
        <w:t xml:space="preserve">+</w:t>
      </w:r>
      <w:r>
        <w:t xml:space="preserve">”</w:t>
      </w:r>
      <w:r>
        <w:t xml:space="preserve"> </w:t>
      </w:r>
      <w:r>
        <w:t xml:space="preserve">no item 6 em Cinar 2022 e Bieniek 2022 (contra</w:t>
      </w:r>
      <w:r>
        <w:t xml:space="preserve"> </w:t>
      </w:r>
      <w:r>
        <w:t xml:space="preserve">“</w:t>
      </w:r>
      <w:r>
        <w:t xml:space="preserve">−</w:t>
      </w:r>
      <w:r>
        <w:t xml:space="preserve">”</w:t>
      </w:r>
      <w:r>
        <w:t xml:space="preserve"> </w:t>
      </w:r>
      <w:r>
        <w:t xml:space="preserve">nos demais)</w:t>
      </w:r>
      <w:r>
        <w:t xml:space="preserve"> </w:t>
      </w:r>
      <w:r>
        <w:rPr>
          <w:bCs/>
          <w:b/>
        </w:rPr>
        <w:t xml:space="preserve">não está detalhado no texto do manuscrito</w:t>
      </w:r>
      <w:r>
        <w:t xml:space="preserve">; a justificativa fica na planilha de avaliação. Para Bieniek 2022 é coerente com o uso de uma escala estruturada de sinais e sintomas (Anexo D).</w:t>
      </w:r>
      <w:r>
        <w:t xml:space="preserve"> </w:t>
      </w:r>
      <w:r>
        <w:rPr>
          <w:bCs/>
          <w:b/>
        </w:rPr>
        <w:t xml:space="preserve">Confira a planilha antes da apresentação</w:t>
      </w:r>
      <w:r>
        <w:t xml:space="preserve"> </w:t>
      </w:r>
      <w:r>
        <w:t xml:space="preserve">para explicar Cinar se perguntarem.</w:t>
      </w:r>
    </w:p>
    <w:bookmarkEnd w:id="91"/>
    <w:bookmarkStart w:id="92" w:name="X7dcf628501862e1e2561b4434c7ed782a34a5c0"/>
    <w:p>
      <w:pPr>
        <w:pStyle w:val="Heading4"/>
      </w:pPr>
      <w:r>
        <w:t xml:space="preserve">Resultado 2: os 12 transversais analíticos e de desfechos objetivos (Figura E2, transcrita)</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Estudo</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Global</w:t>
            </w:r>
          </w:p>
        </w:tc>
      </w:tr>
      <w:tr>
        <w:tc>
          <w:tcPr/>
          <w:p>
            <w:pPr>
              <w:pStyle w:val="Compact"/>
              <w:jc w:val="left"/>
            </w:pPr>
            <w:r>
              <w:t xml:space="preserve">Karaman Özlü et al., 2024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Habib; Chaudhary, 2023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Asdornwised et al., 2018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Jadhav; Achutan, 2020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r>
        <w:tc>
          <w:tcPr/>
          <w:p>
            <w:pPr>
              <w:pStyle w:val="Compact"/>
              <w:jc w:val="left"/>
            </w:pPr>
            <w:r>
              <w:t xml:space="preserve">Taskingul; Kiran; Emerce, 2024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r>
        <w:tc>
          <w:tcPr/>
          <w:p>
            <w:pPr>
              <w:pStyle w:val="Compact"/>
              <w:jc w:val="left"/>
            </w:pPr>
            <w:r>
              <w:t xml:space="preserve">Aranha et al., 2018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Saito et al., 2019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Lopes et al.,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Alta</w:t>
            </w:r>
          </w:p>
        </w:tc>
      </w:tr>
      <w:tr>
        <w:tc>
          <w:tcPr/>
          <w:p>
            <w:pPr>
              <w:pStyle w:val="Compact"/>
              <w:jc w:val="left"/>
            </w:pPr>
            <w:r>
              <w:t xml:space="preserve">Bieniek et al.,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r>
        <w:tc>
          <w:tcPr/>
          <w:p>
            <w:pPr>
              <w:pStyle w:val="Compact"/>
              <w:jc w:val="left"/>
            </w:pPr>
            <w:r>
              <w:t xml:space="preserve">Hu et al., 2021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r>
        <w:tc>
          <w:tcPr/>
          <w:p>
            <w:pPr>
              <w:pStyle w:val="Compact"/>
              <w:jc w:val="left"/>
            </w:pPr>
            <w:r>
              <w:t xml:space="preserve">Canicoba,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r>
        <w:tc>
          <w:tcPr/>
          <w:p>
            <w:pPr>
              <w:pStyle w:val="Compact"/>
              <w:jc w:val="left"/>
            </w:pPr>
            <w:r>
              <w:t xml:space="preserve">Ibrahim et al.,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Moderada</w:t>
            </w:r>
          </w:p>
        </w:tc>
      </w:tr>
    </w:tbl>
    <w:p>
      <w:pPr>
        <w:pStyle w:val="BodyText"/>
      </w:pPr>
      <w:r>
        <w:t xml:space="preserve">Padrões que explicam a figura:</w:t>
      </w:r>
    </w:p>
    <w:p>
      <w:pPr>
        <w:numPr>
          <w:ilvl w:val="0"/>
          <w:numId w:val="1037"/>
        </w:numPr>
        <w:pStyle w:val="Compact"/>
      </w:pPr>
      <w:r>
        <w:rPr>
          <w:bCs/>
          <w:b/>
        </w:rPr>
        <w:t xml:space="preserve">Inquéritos de sintomas</w:t>
      </w:r>
      <w:r>
        <w:t xml:space="preserve"> </w:t>
      </w:r>
      <w:r>
        <w:t xml:space="preserve">(Karaman Özlü, Habib, Asdornwised, Aranha, Saito, Lopes): exposição aferida pela ocupação (item 3</w:t>
      </w:r>
      <w:r>
        <w:t xml:space="preserve"> </w:t>
      </w:r>
      <w:r>
        <w:t xml:space="preserve">“</w:t>
      </w:r>
      <w:r>
        <w:t xml:space="preserve">−</w:t>
      </w:r>
      <w:r>
        <w:t xml:space="preserve">”</w:t>
      </w:r>
      <w:r>
        <w:t xml:space="preserve">), desfecho autorrelatado sem critério objetivo (itens 4 e 7</w:t>
      </w:r>
      <w:r>
        <w:t xml:space="preserve"> </w:t>
      </w:r>
      <w:r>
        <w:t xml:space="preserve">“</w:t>
      </w:r>
      <w:r>
        <w:t xml:space="preserve">−</w:t>
      </w:r>
      <w:r>
        <w:t xml:space="preserve">”</w:t>
      </w:r>
      <w:r>
        <w:t xml:space="preserve">), confundidores não considerados (5</w:t>
      </w:r>
      <w:r>
        <w:t xml:space="preserve"> </w:t>
      </w:r>
      <w:r>
        <w:t xml:space="preserve">“</w:t>
      </w:r>
      <w:r>
        <w:t xml:space="preserve">?</w:t>
      </w:r>
      <w:r>
        <w:t xml:space="preserve">”</w:t>
      </w:r>
      <w:r>
        <w:t xml:space="preserve">, 6</w:t>
      </w:r>
      <w:r>
        <w:t xml:space="preserve"> </w:t>
      </w:r>
      <w:r>
        <w:t xml:space="preserve">“</w:t>
      </w:r>
      <w:r>
        <w:t xml:space="preserve">−</w:t>
      </w:r>
      <w:r>
        <w:t xml:space="preserve">”</w:t>
      </w:r>
      <w:r>
        <w:t xml:space="preserve">). Os três domínios críticos falham →</w:t>
      </w:r>
      <w:r>
        <w:t xml:space="preserve"> </w:t>
      </w:r>
      <w:r>
        <w:rPr>
          <w:bCs/>
          <w:b/>
        </w:rPr>
        <w:t xml:space="preserve">alta</w:t>
      </w:r>
      <w:r>
        <w:t xml:space="preserve">.</w:t>
      </w:r>
    </w:p>
    <w:p>
      <w:pPr>
        <w:numPr>
          <w:ilvl w:val="0"/>
          <w:numId w:val="1037"/>
        </w:numPr>
        <w:pStyle w:val="Compact"/>
      </w:pPr>
      <w:r>
        <w:rPr>
          <w:bCs/>
          <w:b/>
        </w:rPr>
        <w:t xml:space="preserve">Jadhav; Achutan 2020</w:t>
      </w:r>
      <w:r>
        <w:t xml:space="preserve"> </w:t>
      </w:r>
      <w:r>
        <w:t xml:space="preserve">sobe para moderada porque</w:t>
      </w:r>
      <w:r>
        <w:t xml:space="preserve"> </w:t>
      </w:r>
      <w:r>
        <w:rPr>
          <w:bCs/>
          <w:b/>
        </w:rPr>
        <w:t xml:space="preserve">mediu a exposição no ar</w:t>
      </w:r>
      <w:r>
        <w:t xml:space="preserve"> </w:t>
      </w:r>
      <w:r>
        <w:t xml:space="preserve">(formaldeído, PM2,5, COV; item 3</w:t>
      </w:r>
      <w:r>
        <w:t xml:space="preserve"> </w:t>
      </w:r>
      <w:r>
        <w:t xml:space="preserve">“</w:t>
      </w:r>
      <w:r>
        <w:t xml:space="preserve">+</w:t>
      </w:r>
      <w:r>
        <w:t xml:space="preserve">”</w:t>
      </w:r>
      <w:r>
        <w:t xml:space="preserve">).</w:t>
      </w:r>
      <w:r>
        <w:t xml:space="preserve"> </w:t>
      </w:r>
      <w:r>
        <w:rPr>
          <w:bCs/>
          <w:b/>
        </w:rPr>
        <w:t xml:space="preserve">Taskingul 2024</w:t>
      </w:r>
      <w:r>
        <w:t xml:space="preserve"> </w:t>
      </w:r>
      <w:r>
        <w:t xml:space="preserve">e</w:t>
      </w:r>
      <w:r>
        <w:t xml:space="preserve"> </w:t>
      </w:r>
      <w:r>
        <w:rPr>
          <w:bCs/>
          <w:b/>
        </w:rPr>
        <w:t xml:space="preserve">Bieniek 2025</w:t>
      </w:r>
      <w:r>
        <w:t xml:space="preserve"> </w:t>
      </w:r>
      <w:r>
        <w:t xml:space="preserve">sobem porque identificaram confundidores (item 5</w:t>
      </w:r>
      <w:r>
        <w:t xml:space="preserve"> </w:t>
      </w:r>
      <w:r>
        <w:t xml:space="preserve">“</w:t>
      </w:r>
      <w:r>
        <w:t xml:space="preserve">+</w:t>
      </w:r>
      <w:r>
        <w:t xml:space="preserve">”</w:t>
      </w:r>
      <w:r>
        <w:t xml:space="preserve">; Bieniek 2025 também com estratégia, item 6</w:t>
      </w:r>
      <w:r>
        <w:t xml:space="preserve"> </w:t>
      </w:r>
      <w:r>
        <w:t xml:space="preserve">“</w:t>
      </w:r>
      <w:r>
        <w:t xml:space="preserve">+</w:t>
      </w:r>
      <w:r>
        <w:t xml:space="preserve">”</w:t>
      </w:r>
      <w:r>
        <w:t xml:space="preserve">).</w:t>
      </w:r>
    </w:p>
    <w:p>
      <w:pPr>
        <w:numPr>
          <w:ilvl w:val="0"/>
          <w:numId w:val="1037"/>
        </w:numPr>
        <w:pStyle w:val="Compact"/>
      </w:pPr>
      <w:r>
        <w:rPr>
          <w:bCs/>
          <w:b/>
        </w:rPr>
        <w:t xml:space="preserve">Estudos de desfecho objetivo</w:t>
      </w:r>
      <w:r>
        <w:t xml:space="preserve"> </w:t>
      </w:r>
      <w:r>
        <w:t xml:space="preserve">(Hu, Canicoba, Ibrahim): quase tudo</w:t>
      </w:r>
      <w:r>
        <w:t xml:space="preserve"> </w:t>
      </w:r>
      <w:r>
        <w:t xml:space="preserve">“</w:t>
      </w:r>
      <w:r>
        <w:t xml:space="preserve">+</w:t>
      </w:r>
      <w:r>
        <w:t xml:space="preserve">”</w:t>
      </w:r>
      <w:r>
        <w:t xml:space="preserve">; o que sobra é</w:t>
      </w:r>
      <w:r>
        <w:t xml:space="preserve"> </w:t>
      </w:r>
      <w:r>
        <w:rPr>
          <w:bCs/>
          <w:b/>
        </w:rPr>
        <w:t xml:space="preserve">item 6</w:t>
      </w:r>
      <w:r>
        <w:rPr>
          <w:bCs/>
          <w:b/>
        </w:rPr>
        <w:t xml:space="preserve"> </w:t>
      </w:r>
      <w:r>
        <w:rPr>
          <w:bCs/>
          <w:b/>
        </w:rPr>
        <w:t xml:space="preserve">“</w:t>
      </w:r>
      <w:r>
        <w:rPr>
          <w:bCs/>
          <w:b/>
        </w:rPr>
        <w:t xml:space="preserve">?</w:t>
      </w:r>
      <w:r>
        <w:rPr>
          <w:bCs/>
          <w:b/>
        </w:rPr>
        <w:t xml:space="preserve">”</w:t>
      </w:r>
      <w:r>
        <w:t xml:space="preserve"> </w:t>
      </w:r>
      <w:r>
        <w:t xml:space="preserve">(nenhuma descrição explícita de ajuste para confundidores) e, em Ibrahim, item 3</w:t>
      </w:r>
      <w:r>
        <w:t xml:space="preserve"> </w:t>
      </w:r>
      <w:r>
        <w:t xml:space="preserve">“</w:t>
      </w:r>
      <w:r>
        <w:t xml:space="preserve">?</w:t>
      </w:r>
      <w:r>
        <w:t xml:space="preserve">”</w:t>
      </w:r>
      <w:r>
        <w:t xml:space="preserve"> </w:t>
      </w:r>
      <w:r>
        <w:t xml:space="preserve">(instrumento de aferição da exposição não detalhado) e item 5</w:t>
      </w:r>
      <w:r>
        <w:t xml:space="preserve"> </w:t>
      </w:r>
      <w:r>
        <w:t xml:space="preserve">“</w:t>
      </w:r>
      <w:r>
        <w:t xml:space="preserve">?</w:t>
      </w:r>
      <w:r>
        <w:t xml:space="preserve">”</w:t>
      </w:r>
      <w:r>
        <w:t xml:space="preserve">. Daí a frase do manuscrito: preocupação moderada</w:t>
      </w:r>
      <w:r>
        <w:t xml:space="preserve"> </w:t>
      </w:r>
      <w:r>
        <w:t xml:space="preserve">“</w:t>
      </w:r>
      <w:r>
        <w:t xml:space="preserve">principalmente pela mensuração da exposição, pela ausência de estimativas ajustadas e pelo controle insuficiente de confundidores</w:t>
      </w:r>
      <w:r>
        <w:t xml:space="preserve">”</w:t>
      </w:r>
      <w:r>
        <w:t xml:space="preserve">.</w:t>
      </w:r>
    </w:p>
    <w:p>
      <w:pPr>
        <w:pStyle w:val="FirstParagraph"/>
      </w:pPr>
      <w:r>
        <w:rPr>
          <w:bCs/>
          <w:b/>
        </w:rPr>
        <w:t xml:space="preserve">Quadro E1 (justificativas dos</w:t>
      </w:r>
      <w:r>
        <w:rPr>
          <w:bCs/>
          <w:b/>
        </w:rPr>
        <w:t xml:space="preserve"> </w:t>
      </w:r>
      <w:r>
        <w:rPr>
          <w:bCs/>
          <w:b/>
        </w:rPr>
        <w:t xml:space="preserve">“</w:t>
      </w:r>
      <w:r>
        <w:rPr>
          <w:bCs/>
          <w:b/>
        </w:rPr>
        <w:t xml:space="preserve">incertos</w:t>
      </w:r>
      <w:r>
        <w:rPr>
          <w:bCs/>
          <w:b/>
        </w:rPr>
        <w:t xml:space="preserve">”</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Estudos</w:t>
            </w:r>
          </w:p>
        </w:tc>
        <w:tc>
          <w:tcPr/>
          <w:p>
            <w:pPr>
              <w:pStyle w:val="Compact"/>
              <w:jc w:val="left"/>
            </w:pPr>
            <w:r>
              <w:t xml:space="preserve">Justificativa</w:t>
            </w:r>
          </w:p>
        </w:tc>
      </w:tr>
      <w:tr>
        <w:tc>
          <w:tcPr/>
          <w:p>
            <w:pPr>
              <w:pStyle w:val="Compact"/>
              <w:jc w:val="left"/>
            </w:pPr>
            <w:r>
              <w:t xml:space="preserve">3 – exposição válida e confiável</w:t>
            </w:r>
          </w:p>
        </w:tc>
        <w:tc>
          <w:tcPr/>
          <w:p>
            <w:pPr>
              <w:pStyle w:val="Compact"/>
              <w:jc w:val="left"/>
            </w:pPr>
            <w:r>
              <w:t xml:space="preserve">Ibrahim 2025</w:t>
            </w:r>
          </w:p>
        </w:tc>
        <w:tc>
          <w:tcPr/>
          <w:p>
            <w:pPr>
              <w:pStyle w:val="Compact"/>
              <w:jc w:val="left"/>
            </w:pPr>
            <w:r>
              <w:t xml:space="preserve">o relatório não detalha o instrumento nem o protocolo de aferição da exposição ocupacional</w:t>
            </w:r>
          </w:p>
        </w:tc>
      </w:tr>
      <w:tr>
        <w:tc>
          <w:tcPr/>
          <w:p>
            <w:pPr>
              <w:pStyle w:val="Compact"/>
              <w:jc w:val="left"/>
            </w:pPr>
            <w:r>
              <w:t xml:space="preserve">5 – confundidores identificados</w:t>
            </w:r>
          </w:p>
        </w:tc>
        <w:tc>
          <w:tcPr/>
          <w:p>
            <w:pPr>
              <w:pStyle w:val="Compact"/>
              <w:jc w:val="left"/>
            </w:pPr>
            <w:r>
              <w:t xml:space="preserve">Karaman Özlü 2024; Habib; Chaudhary 2023; Asdornwised 2018; Jadhav; Achutan 2020; Aranha 2018; Saito 2019; Lopes 2025; Ibrahim 2025 (8 estudos)</w:t>
            </w:r>
          </w:p>
        </w:tc>
        <w:tc>
          <w:tcPr/>
          <w:p>
            <w:pPr>
              <w:pStyle w:val="Compact"/>
              <w:jc w:val="left"/>
            </w:pPr>
            <w:r>
              <w:t xml:space="preserve">os relatórios não especificam quais fatores de confusão foram previamente considerados</w:t>
            </w:r>
          </w:p>
        </w:tc>
      </w:tr>
      <w:tr>
        <w:tc>
          <w:tcPr/>
          <w:p>
            <w:pPr>
              <w:pStyle w:val="Compact"/>
              <w:jc w:val="left"/>
            </w:pPr>
            <w:r>
              <w:t xml:space="preserve">6 – estratégias para confundidores</w:t>
            </w:r>
          </w:p>
        </w:tc>
        <w:tc>
          <w:tcPr/>
          <w:p>
            <w:pPr>
              <w:pStyle w:val="Compact"/>
              <w:jc w:val="left"/>
            </w:pPr>
            <w:r>
              <w:t xml:space="preserve">Habib; Chaudhary 2023; Taskingul 2024; Hu 2021; Canicoba 2025; Ibrahim 2025 (5 estudos)</w:t>
            </w:r>
          </w:p>
        </w:tc>
        <w:tc>
          <w:tcPr/>
          <w:p>
            <w:pPr>
              <w:pStyle w:val="Compact"/>
              <w:jc w:val="left"/>
            </w:pPr>
            <w:r>
              <w:t xml:space="preserve">não há descrição explícita de ajuste ou controle estatístico dos confundidores</w:t>
            </w:r>
          </w:p>
        </w:tc>
      </w:tr>
    </w:tbl>
    <w:p>
      <w:pPr>
        <w:pStyle w:val="BodyText"/>
      </w:pPr>
      <w:r>
        <w:t xml:space="preserve">Limitação admitida no Anexo E: nos três inquéritos descritivos não agrupados (Karaman Özlü, Habib, Asdornwised), os itens 5 e 6 (confundidores) têm</w:t>
      </w:r>
      <w:r>
        <w:t xml:space="preserve"> </w:t>
      </w:r>
      <w:r>
        <w:rPr>
          <w:bCs/>
          <w:b/>
        </w:rPr>
        <w:t xml:space="preserve">pertinência limitada</w:t>
      </w:r>
      <w:r>
        <w:t xml:space="preserve">, e usar a lista analítica neles é registrado como limitação da escolha do instrumento.</w:t>
      </w:r>
      <w:r>
        <w:t xml:space="preserve"> </w:t>
      </w:r>
      <w:r>
        <w:rPr>
          <w:bCs/>
          <w:b/>
        </w:rPr>
        <w:t xml:space="preserve">[minha leitura]</w:t>
      </w:r>
      <w:r>
        <w:t xml:space="preserve"> </w:t>
      </w:r>
      <w:r>
        <w:t xml:space="preserve">Como esses três estudos não entraram em nenhum agrupamento, sua classificação</w:t>
      </w:r>
      <w:r>
        <w:t xml:space="preserve"> </w:t>
      </w:r>
      <w:r>
        <w:t xml:space="preserve">“</w:t>
      </w:r>
      <w:r>
        <w:t xml:space="preserve">alta</w:t>
      </w:r>
      <w:r>
        <w:t xml:space="preserve">”</w:t>
      </w:r>
      <w:r>
        <w:t xml:space="preserve"> </w:t>
      </w:r>
      <w:r>
        <w:t xml:space="preserve">não pesa nos rebaixamentos das estimativas combinadas.</w:t>
      </w:r>
    </w:p>
    <w:bookmarkEnd w:id="92"/>
    <w:bookmarkStart w:id="93" w:name="Xd52e9fc5f8fc6b03ae4b4e78e49699b59b8837a"/>
    <w:p>
      <w:pPr>
        <w:pStyle w:val="Heading4"/>
      </w:pPr>
      <w:r>
        <w:t xml:space="preserve">Resultado 3: as três coortes (lista de 11 itens)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Coorte</w:t>
            </w:r>
          </w:p>
        </w:tc>
        <w:tc>
          <w:tcPr/>
          <w:p>
            <w:pPr>
              <w:pStyle w:val="Compact"/>
              <w:jc w:val="left"/>
            </w:pPr>
            <w:r>
              <w:t xml:space="preserve">Itens atendidos (de 11)</w:t>
            </w:r>
          </w:p>
        </w:tc>
        <w:tc>
          <w:tcPr/>
          <w:p>
            <w:pPr>
              <w:pStyle w:val="Compact"/>
              <w:jc w:val="left"/>
            </w:pPr>
            <w:r>
              <w:t xml:space="preserve">Domínios frágeis (</w:t>
            </w:r>
            <w:r>
              <w:t xml:space="preserve">“</w:t>
            </w:r>
            <w:r>
              <w:t xml:space="preserve">não</w:t>
            </w:r>
            <w:r>
              <w:t xml:space="preserve">”</w:t>
            </w:r>
            <w:r>
              <w:t xml:space="preserve"> </w:t>
            </w:r>
            <w:r>
              <w:t xml:space="preserve">ou</w:t>
            </w:r>
            <w:r>
              <w:t xml:space="preserve"> </w:t>
            </w:r>
            <w:r>
              <w:t xml:space="preserve">“</w:t>
            </w:r>
            <w:r>
              <w:t xml:space="preserve">incerto</w:t>
            </w:r>
            <w:r>
              <w:t xml:space="preserve">”</w:t>
            </w:r>
            <w:r>
              <w:t xml:space="preserve">)</w:t>
            </w:r>
          </w:p>
        </w:tc>
        <w:tc>
          <w:tcPr/>
          <w:p>
            <w:pPr>
              <w:pStyle w:val="Compact"/>
              <w:jc w:val="left"/>
            </w:pPr>
            <w:r>
              <w:t xml:space="preserve">Preocupação</w:t>
            </w:r>
          </w:p>
        </w:tc>
      </w:tr>
      <w:tr>
        <w:tc>
          <w:tcPr/>
          <w:p>
            <w:pPr>
              <w:pStyle w:val="Compact"/>
              <w:jc w:val="left"/>
            </w:pPr>
            <w:r>
              <w:t xml:space="preserve">Stanganelli et al., 2019</w:t>
            </w:r>
          </w:p>
        </w:tc>
        <w:tc>
          <w:tcPr/>
          <w:p>
            <w:pPr>
              <w:pStyle w:val="Compact"/>
              <w:jc w:val="left"/>
            </w:pPr>
            <w:r>
              <w:t xml:space="preserve">3</w:t>
            </w:r>
          </w:p>
        </w:tc>
        <w:tc>
          <w:tcPr/>
          <w:p>
            <w:pPr>
              <w:pStyle w:val="Compact"/>
              <w:jc w:val="left"/>
            </w:pPr>
            <w:r>
              <w:t xml:space="preserve">comparabilidade dos grupos; exposição e desfecho autorrelatados; perdas</w:t>
            </w:r>
          </w:p>
        </w:tc>
        <w:tc>
          <w:tcPr/>
          <w:p>
            <w:pPr>
              <w:pStyle w:val="Compact"/>
              <w:jc w:val="left"/>
            </w:pPr>
            <w:r>
              <w:rPr>
                <w:bCs/>
                <w:b/>
              </w:rPr>
              <w:t xml:space="preserve">Alta</w:t>
            </w:r>
          </w:p>
        </w:tc>
      </w:tr>
      <w:tr>
        <w:tc>
          <w:tcPr/>
          <w:p>
            <w:pPr>
              <w:pStyle w:val="Compact"/>
              <w:jc w:val="left"/>
            </w:pPr>
            <w:r>
              <w:t xml:space="preserve">Stanganelli Caus et al., 2025</w:t>
            </w:r>
          </w:p>
        </w:tc>
        <w:tc>
          <w:tcPr/>
          <w:p>
            <w:pPr>
              <w:pStyle w:val="Compact"/>
              <w:jc w:val="left"/>
            </w:pPr>
            <w:r>
              <w:t xml:space="preserve">6</w:t>
            </w:r>
          </w:p>
        </w:tc>
        <w:tc>
          <w:tcPr/>
          <w:p>
            <w:pPr>
              <w:pStyle w:val="Compact"/>
              <w:jc w:val="left"/>
            </w:pPr>
            <w:r>
              <w:t xml:space="preserve">exposição por proxy; desfecho autorrelatado; seguimento incompleto</w:t>
            </w:r>
          </w:p>
        </w:tc>
        <w:tc>
          <w:tcPr/>
          <w:p>
            <w:pPr>
              <w:pStyle w:val="Compact"/>
              <w:jc w:val="left"/>
            </w:pPr>
            <w:r>
              <w:t xml:space="preserve">Moderada</w:t>
            </w:r>
          </w:p>
        </w:tc>
      </w:tr>
      <w:tr>
        <w:tc>
          <w:tcPr/>
          <w:p>
            <w:pPr>
              <w:pStyle w:val="Compact"/>
              <w:jc w:val="left"/>
            </w:pPr>
            <w:r>
              <w:t xml:space="preserve">Navarro et al., 2016</w:t>
            </w:r>
          </w:p>
        </w:tc>
        <w:tc>
          <w:tcPr/>
          <w:p>
            <w:pPr>
              <w:pStyle w:val="Compact"/>
              <w:jc w:val="left"/>
            </w:pPr>
            <w:r>
              <w:t xml:space="preserve">6</w:t>
            </w:r>
          </w:p>
        </w:tc>
        <w:tc>
          <w:tcPr/>
          <w:p>
            <w:pPr>
              <w:pStyle w:val="Compact"/>
              <w:jc w:val="left"/>
            </w:pPr>
            <w:r>
              <w:t xml:space="preserve">exposição por proxy; controle de confundidores; perdas</w:t>
            </w:r>
          </w:p>
        </w:tc>
        <w:tc>
          <w:tcPr/>
          <w:p>
            <w:pPr>
              <w:pStyle w:val="Compact"/>
              <w:jc w:val="left"/>
            </w:pPr>
            <w:r>
              <w:t xml:space="preserve">Moderada</w:t>
            </w:r>
          </w:p>
        </w:tc>
      </w:tr>
    </w:tbl>
    <w:p>
      <w:pPr>
        <w:pStyle w:val="BodyText"/>
      </w:pPr>
      <w:r>
        <w:t xml:space="preserve">Note que a preocupação global</w:t>
      </w:r>
      <w:r>
        <w:t xml:space="preserve"> </w:t>
      </w:r>
      <w:r>
        <w:rPr>
          <w:bCs/>
          <w:b/>
        </w:rPr>
        <w:t xml:space="preserve">não</w:t>
      </w:r>
      <w:r>
        <w:t xml:space="preserve"> </w:t>
      </w:r>
      <w:r>
        <w:t xml:space="preserve">veio da contagem</w:t>
      </w:r>
      <w:r>
        <w:t xml:space="preserve"> </w:t>
      </w:r>
      <w:r>
        <w:t xml:space="preserve">“</w:t>
      </w:r>
      <w:r>
        <w:t xml:space="preserve">3 de 11</w:t>
      </w:r>
      <w:r>
        <w:t xml:space="preserve">”</w:t>
      </w:r>
      <w:r>
        <w:t xml:space="preserve"> </w:t>
      </w:r>
      <w:r>
        <w:t xml:space="preserve">ou</w:t>
      </w:r>
      <w:r>
        <w:t xml:space="preserve"> </w:t>
      </w:r>
      <w:r>
        <w:t xml:space="preserve">“</w:t>
      </w:r>
      <w:r>
        <w:t xml:space="preserve">6 de 11</w:t>
      </w:r>
      <w:r>
        <w:t xml:space="preserve">”</w:t>
      </w:r>
      <w:r>
        <w:t xml:space="preserve">, e sim da regra operacional aplicada aos críticos da coorte (comparabilidade, exposição, desfecho, seguimento). Stanganelli 2019 falha em todos; as outras duas falham parcialmente.</w:t>
      </w:r>
    </w:p>
    <w:bookmarkEnd w:id="93"/>
    <w:bookmarkStart w:id="94" w:name="balanço-geral"/>
    <w:p>
      <w:pPr>
        <w:pStyle w:val="Heading4"/>
      </w:pPr>
      <w:r>
        <w:t xml:space="preserve">Balanço geral</w:t>
      </w:r>
    </w:p>
    <w:p>
      <w:pPr>
        <w:pStyle w:val="FirstParagraph"/>
      </w:pPr>
      <w:r>
        <w:rPr>
          <w:bCs/>
          <w:b/>
        </w:rPr>
        <w:t xml:space="preserve">[cálculo meu, a partir da Tabela 1]</w:t>
      </w:r>
      <w:r>
        <w:t xml:space="preserve"> </w:t>
      </w:r>
      <w:r>
        <w:t xml:space="preserve">Dos 22 relatórios:</w:t>
      </w:r>
      <w:r>
        <w:t xml:space="preserve"> </w:t>
      </w:r>
      <w:r>
        <w:rPr>
          <w:bCs/>
          <w:b/>
        </w:rPr>
        <w:t xml:space="preserve">11 com preocupação alta</w:t>
      </w:r>
      <w:r>
        <w:t xml:space="preserve"> </w:t>
      </w:r>
      <w:r>
        <w:t xml:space="preserve">(İlçe 2017; Mohd Fikri Rosely 2022; Karaman Özlü 2024; Habib 2023; Usta 2019; Van Giersbergen 2019; Asdornwised 2018; Aranha 2018; Saito 2019; Lopes 2025; Stanganelli 2019),</w:t>
      </w:r>
      <w:r>
        <w:t xml:space="preserve"> </w:t>
      </w:r>
      <w:r>
        <w:rPr>
          <w:bCs/>
          <w:b/>
        </w:rPr>
        <w:t xml:space="preserve">11 com moderada</w:t>
      </w:r>
      <w:r>
        <w:t xml:space="preserve"> </w:t>
      </w:r>
      <w:r>
        <w:t xml:space="preserve">e</w:t>
      </w:r>
      <w:r>
        <w:t xml:space="preserve"> </w:t>
      </w:r>
      <w:r>
        <w:rPr>
          <w:bCs/>
          <w:b/>
        </w:rPr>
        <w:t xml:space="preserve">nenhum com baixa</w:t>
      </w:r>
      <w:r>
        <w:t xml:space="preserve">. Entre os 7 agrupados: 4 alta (İlçe, Usta, Van Giersbergen, Mohd Fikri Rosely 2022) e 3 moderada (Cinar, Mohd Fikri Rosely 2019, Bieniek 2022).</w:t>
      </w:r>
    </w:p>
    <w:p>
      <w:pPr>
        <w:pStyle w:val="BodyText"/>
      </w:pPr>
      <w:r>
        <w:t xml:space="preserve">Frase-resumo do manuscrito para os estudos de prevalência: preocupação predominantemente moderada a alta,</w:t>
      </w:r>
      <w:r>
        <w:t xml:space="preserve"> </w:t>
      </w:r>
      <w:r>
        <w:rPr>
          <w:bCs/>
          <w:b/>
        </w:rPr>
        <w:t xml:space="preserve">por amostragem não probabilística, tamanho amostral não justificado, ausência de informação sobre a taxa de resposta e mensuração autorrelatada dos sintomas</w:t>
      </w:r>
      <w:r>
        <w:t xml:space="preserve">.</w:t>
      </w:r>
    </w:p>
    <w:p>
      <w:pPr>
        <w:pStyle w:val="BlockText"/>
      </w:pPr>
      <w:r>
        <w:rPr>
          <w:bCs/>
          <w:b/>
        </w:rPr>
        <w:t xml:space="preserve">O que dizer se perguntarem (risco de viés)</w:t>
      </w:r>
    </w:p>
    <w:p>
      <w:pPr>
        <w:numPr>
          <w:ilvl w:val="0"/>
          <w:numId w:val="1038"/>
        </w:numPr>
        <w:pStyle w:val="Compact"/>
      </w:pPr>
      <w:r>
        <w:rPr>
          <w:bCs/>
          <w:b/>
        </w:rPr>
        <w:t xml:space="preserve">“</w:t>
      </w:r>
      <w:r>
        <w:rPr>
          <w:bCs/>
          <w:b/>
        </w:rPr>
        <w:t xml:space="preserve">Por que JBI e não Newcastle-Ottawa ou ROBINS-E?</w:t>
      </w:r>
      <w:r>
        <w:rPr>
          <w:bCs/>
          <w:b/>
        </w:rPr>
        <w:t xml:space="preserve">”</w:t>
      </w:r>
      <w:r>
        <w:t xml:space="preserve"> </w:t>
      </w:r>
      <w:r>
        <w:t xml:space="preserve">Porque a pergunta principal é de prevalência, sem comparador; o JBI é a única das três com lista específica para prevalência (alinhada ao CoCoPop e a Hoy et al., 2012), e oferece listas irmãs para transversais analíticos e coortes, o que mantém coerência. NOS foi feita para coorte e caso-controle; ROBINS-E, para efeito de exposição com lógica causal.</w:t>
      </w:r>
    </w:p>
    <w:p>
      <w:pPr>
        <w:numPr>
          <w:ilvl w:val="0"/>
          <w:numId w:val="1038"/>
        </w:numPr>
        <w:pStyle w:val="Compact"/>
      </w:pPr>
      <w:r>
        <w:rPr>
          <w:bCs/>
          <w:b/>
        </w:rPr>
        <w:t xml:space="preserve">“</w:t>
      </w:r>
      <w:r>
        <w:rPr>
          <w:bCs/>
          <w:b/>
        </w:rPr>
        <w:t xml:space="preserve">Por que três listas e não uma só?</w:t>
      </w:r>
      <w:r>
        <w:rPr>
          <w:bCs/>
          <w:b/>
        </w:rPr>
        <w:t xml:space="preserve">”</w:t>
      </w:r>
      <w:r>
        <w:t xml:space="preserve"> </w:t>
      </w:r>
      <w:r>
        <w:t xml:space="preserve">Porque a finalidade de cada estudo na síntese era diferente: estimar frequência (prevalência), comparar expostos e não expostos (analítico) ou seguir no tempo (coorte). Não combinei pontuações de instrumentos diferentes.</w:t>
      </w:r>
    </w:p>
    <w:p>
      <w:pPr>
        <w:numPr>
          <w:ilvl w:val="0"/>
          <w:numId w:val="1038"/>
        </w:numPr>
        <w:pStyle w:val="Compact"/>
      </w:pPr>
      <w:r>
        <w:rPr>
          <w:bCs/>
          <w:b/>
        </w:rPr>
        <w:t xml:space="preserve">“</w:t>
      </w:r>
      <w:r>
        <w:rPr>
          <w:bCs/>
          <w:b/>
        </w:rPr>
        <w:t xml:space="preserve">Como virou</w:t>
      </w:r>
      <w:r>
        <w:rPr>
          <w:bCs/>
          <w:b/>
        </w:rPr>
        <w:t xml:space="preserve"> </w:t>
      </w:r>
      <w:r>
        <w:rPr>
          <w:bCs/>
          <w:b/>
        </w:rPr>
        <w:t xml:space="preserve">‘</w:t>
      </w:r>
      <w:r>
        <w:rPr>
          <w:bCs/>
          <w:b/>
        </w:rPr>
        <w:t xml:space="preserve">alta</w:t>
      </w:r>
      <w:r>
        <w:rPr>
          <w:bCs/>
          <w:b/>
        </w:rPr>
        <w:t xml:space="preserve">’</w:t>
      </w:r>
      <w:r>
        <w:rPr>
          <w:bCs/>
          <w:b/>
        </w:rPr>
        <w:t xml:space="preserve"> </w:t>
      </w:r>
      <w:r>
        <w:rPr>
          <w:bCs/>
          <w:b/>
        </w:rPr>
        <w:t xml:space="preserve">ou</w:t>
      </w:r>
      <w:r>
        <w:rPr>
          <w:bCs/>
          <w:b/>
        </w:rPr>
        <w:t xml:space="preserve"> </w:t>
      </w:r>
      <w:r>
        <w:rPr>
          <w:bCs/>
          <w:b/>
        </w:rPr>
        <w:t xml:space="preserve">‘</w:t>
      </w:r>
      <w:r>
        <w:rPr>
          <w:bCs/>
          <w:b/>
        </w:rPr>
        <w:t xml:space="preserve">moderada</w:t>
      </w:r>
      <w:r>
        <w:rPr>
          <w:bCs/>
          <w:b/>
        </w:rPr>
        <w:t xml:space="preserve">’</w:t>
      </w:r>
      <w:r>
        <w:rPr>
          <w:bCs/>
          <w:b/>
        </w:rPr>
        <w:t xml:space="preserve">? Foi porcentagem?</w:t>
      </w:r>
      <w:r>
        <w:rPr>
          <w:bCs/>
          <w:b/>
        </w:rPr>
        <w:t xml:space="preserve">”</w:t>
      </w:r>
      <w:r>
        <w:t xml:space="preserve"> </w:t>
      </w:r>
      <w:r>
        <w:t xml:space="preserve">Não. Foi julgamento qualitativo pelos domínios críticos: baixa só com todos os críticos atendidos; alta quando relato insuficiente ou quando um crítico</w:t>
      </w:r>
      <w:r>
        <w:t xml:space="preserve"> </w:t>
      </w:r>
      <w:r>
        <w:t xml:space="preserve">“</w:t>
      </w:r>
      <w:r>
        <w:t xml:space="preserve">não</w:t>
      </w:r>
      <w:r>
        <w:t xml:space="preserve">”</w:t>
      </w:r>
      <w:r>
        <w:t xml:space="preserve"> </w:t>
      </w:r>
      <w:r>
        <w:t xml:space="preserve">vinha acompanhado de vários</w:t>
      </w:r>
      <w:r>
        <w:t xml:space="preserve"> </w:t>
      </w:r>
      <w:r>
        <w:t xml:space="preserve">“</w:t>
      </w:r>
      <w:r>
        <w:t xml:space="preserve">incertos</w:t>
      </w:r>
      <w:r>
        <w:t xml:space="preserve">”</w:t>
      </w:r>
      <w:r>
        <w:t xml:space="preserve">; moderada no meio.</w:t>
      </w:r>
      <w:r>
        <w:t xml:space="preserve"> </w:t>
      </w:r>
      <w:r>
        <w:t xml:space="preserve">“</w:t>
      </w:r>
      <w:r>
        <w:t xml:space="preserve">Não</w:t>
      </w:r>
      <w:r>
        <w:t xml:space="preserve">”</w:t>
      </w:r>
      <w:r>
        <w:t xml:space="preserve"> </w:t>
      </w:r>
      <w:r>
        <w:t xml:space="preserve">pesa mais que</w:t>
      </w:r>
      <w:r>
        <w:t xml:space="preserve"> </w:t>
      </w:r>
      <w:r>
        <w:t xml:space="preserve">“</w:t>
      </w:r>
      <w:r>
        <w:t xml:space="preserve">incerto</w:t>
      </w:r>
      <w:r>
        <w:t xml:space="preserve">”</w:t>
      </w:r>
      <w:r>
        <w:t xml:space="preserve">. O Anexo E permite auditar item a item.</w:t>
      </w:r>
    </w:p>
    <w:p>
      <w:pPr>
        <w:numPr>
          <w:ilvl w:val="0"/>
          <w:numId w:val="1038"/>
        </w:numPr>
        <w:pStyle w:val="Compact"/>
      </w:pPr>
      <w:r>
        <w:rPr>
          <w:bCs/>
          <w:b/>
        </w:rPr>
        <w:t xml:space="preserve">“</w:t>
      </w:r>
      <w:r>
        <w:rPr>
          <w:bCs/>
          <w:b/>
        </w:rPr>
        <w:t xml:space="preserve">İlçe e Mohd Fikri Rosely 2019 têm o mesmo</w:t>
      </w:r>
      <w:r>
        <w:rPr>
          <w:bCs/>
          <w:b/>
        </w:rPr>
        <w:t xml:space="preserve"> </w:t>
      </w:r>
      <w:r>
        <w:rPr>
          <w:bCs/>
          <w:b/>
        </w:rPr>
        <w:t xml:space="preserve">‘</w:t>
      </w:r>
      <w:r>
        <w:rPr>
          <w:bCs/>
          <w:b/>
        </w:rPr>
        <w:t xml:space="preserve">−</w:t>
      </w:r>
      <w:r>
        <w:rPr>
          <w:bCs/>
          <w:b/>
        </w:rPr>
        <w:t xml:space="preserve">’</w:t>
      </w:r>
      <w:r>
        <w:rPr>
          <w:bCs/>
          <w:b/>
        </w:rPr>
        <w:t xml:space="preserve"> </w:t>
      </w:r>
      <w:r>
        <w:rPr>
          <w:bCs/>
          <w:b/>
        </w:rPr>
        <w:t xml:space="preserve">no item 6; por que um é alto e o outro moderado?</w:t>
      </w:r>
      <w:r>
        <w:rPr>
          <w:bCs/>
          <w:b/>
        </w:rPr>
        <w:t xml:space="preserve">”</w:t>
      </w:r>
      <w:r>
        <w:t xml:space="preserve"> </w:t>
      </w:r>
      <w:r>
        <w:t xml:space="preserve">Porque o malaio tem amostragem aleatória estratificada e cálculo amostral (itens 2 e 3</w:t>
      </w:r>
      <w:r>
        <w:t xml:space="preserve"> </w:t>
      </w:r>
      <w:r>
        <w:t xml:space="preserve">“</w:t>
      </w:r>
      <w:r>
        <w:t xml:space="preserve">+</w:t>
      </w:r>
      <w:r>
        <w:t xml:space="preserve">”</w:t>
      </w:r>
      <w:r>
        <w:t xml:space="preserve">) e só um incerto; o turco tem o</w:t>
      </w:r>
      <w:r>
        <w:t xml:space="preserve"> </w:t>
      </w:r>
      <w:r>
        <w:t xml:space="preserve">“</w:t>
      </w:r>
      <w:r>
        <w:t xml:space="preserve">−</w:t>
      </w:r>
      <w:r>
        <w:t xml:space="preserve">”</w:t>
      </w:r>
      <w:r>
        <w:t xml:space="preserve"> </w:t>
      </w:r>
      <w:r>
        <w:t xml:space="preserve">mais três críticos incertos. É literalmente a regra de desempate.</w:t>
      </w:r>
    </w:p>
    <w:p>
      <w:pPr>
        <w:numPr>
          <w:ilvl w:val="0"/>
          <w:numId w:val="1038"/>
        </w:numPr>
        <w:pStyle w:val="Compact"/>
      </w:pPr>
      <w:r>
        <w:rPr>
          <w:bCs/>
          <w:b/>
        </w:rPr>
        <w:t xml:space="preserve">“</w:t>
      </w:r>
      <w:r>
        <w:rPr>
          <w:bCs/>
          <w:b/>
        </w:rPr>
        <w:t xml:space="preserve">Por que nenhum estudo é de baixa preocupação?</w:t>
      </w:r>
      <w:r>
        <w:rPr>
          <w:bCs/>
          <w:b/>
        </w:rPr>
        <w:t xml:space="preserve">”</w:t>
      </w:r>
      <w:r>
        <w:t xml:space="preserve"> </w:t>
      </w:r>
      <w:r>
        <w:t xml:space="preserve">Nenhum relatou taxa de resposta (item 9</w:t>
      </w:r>
      <w:r>
        <w:t xml:space="preserve"> </w:t>
      </w:r>
      <w:r>
        <w:t xml:space="preserve">“</w:t>
      </w:r>
      <w:r>
        <w:t xml:space="preserve">incerto</w:t>
      </w:r>
      <w:r>
        <w:t xml:space="preserve">”</w:t>
      </w:r>
      <w:r>
        <w:t xml:space="preserve"> </w:t>
      </w:r>
      <w:r>
        <w:t xml:space="preserve">em todos) e quase nenhum usou amostragem probabilística. Com um domínio crítico sempre incerto,</w:t>
      </w:r>
      <w:r>
        <w:t xml:space="preserve"> </w:t>
      </w:r>
      <w:r>
        <w:t xml:space="preserve">“</w:t>
      </w:r>
      <w:r>
        <w:t xml:space="preserve">baixa</w:t>
      </w:r>
      <w:r>
        <w:t xml:space="preserve">”</w:t>
      </w:r>
      <w:r>
        <w:t xml:space="preserve"> </w:t>
      </w:r>
      <w:r>
        <w:t xml:space="preserve">era impossível.</w:t>
      </w:r>
    </w:p>
    <w:p>
      <w:pPr>
        <w:numPr>
          <w:ilvl w:val="0"/>
          <w:numId w:val="1038"/>
        </w:numPr>
        <w:pStyle w:val="Compact"/>
      </w:pPr>
      <w:r>
        <w:rPr>
          <w:bCs/>
          <w:b/>
        </w:rPr>
        <w:t xml:space="preserve">“</w:t>
      </w:r>
      <w:r>
        <w:rPr>
          <w:bCs/>
          <w:b/>
        </w:rPr>
        <w:t xml:space="preserve">Você excluiu os estudos de alto risco?</w:t>
      </w:r>
      <w:r>
        <w:rPr>
          <w:bCs/>
          <w:b/>
        </w:rPr>
        <w:t xml:space="preserve">”</w:t>
      </w:r>
      <w:r>
        <w:t xml:space="preserve"> </w:t>
      </w:r>
      <w:r>
        <w:t xml:space="preserve">Não. Todos foram mantidos; a classificação alimentou o GRADE. A sensibilidade</w:t>
      </w:r>
      <w:r>
        <w:t xml:space="preserve"> </w:t>
      </w:r>
      <w:r>
        <w:t xml:space="preserve">“</w:t>
      </w:r>
      <w:r>
        <w:t xml:space="preserve">só baixo risco</w:t>
      </w:r>
      <w:r>
        <w:t xml:space="preserve">”</w:t>
      </w:r>
      <w:r>
        <w:t xml:space="preserve"> </w:t>
      </w:r>
      <w:r>
        <w:t xml:space="preserve">não era factível. O que testei foi excluir o resumo de congresso: não mudou a conclusão.</w:t>
      </w:r>
    </w:p>
    <w:p>
      <w:pPr>
        <w:numPr>
          <w:ilvl w:val="0"/>
          <w:numId w:val="1038"/>
        </w:numPr>
        <w:pStyle w:val="Compact"/>
      </w:pPr>
      <w:r>
        <w:rPr>
          <w:bCs/>
          <w:b/>
        </w:rPr>
        <w:t xml:space="preserve">“</w:t>
      </w:r>
      <w:r>
        <w:rPr>
          <w:bCs/>
          <w:b/>
        </w:rPr>
        <w:t xml:space="preserve">Avaliação feita por uma pessoa só?</w:t>
      </w:r>
      <w:r>
        <w:rPr>
          <w:bCs/>
          <w:b/>
        </w:rPr>
        <w:t xml:space="preserve">”</w:t>
      </w:r>
      <w:r>
        <w:t xml:space="preserve"> </w:t>
      </w:r>
      <w:r>
        <w:t xml:space="preserve">Sim, e isso é uma limitação declarada: o JBI recomenda dois avaliadores independentes. A compensação foi registrar justificativa para cada julgamento e disponibilizar a planilha.</w:t>
      </w:r>
    </w:p>
    <w:p>
      <w:pPr>
        <w:numPr>
          <w:ilvl w:val="0"/>
          <w:numId w:val="1038"/>
        </w:numPr>
        <w:pStyle w:val="Compact"/>
      </w:pPr>
      <w:r>
        <w:rPr>
          <w:bCs/>
          <w:b/>
        </w:rPr>
        <w:t xml:space="preserve">“</w:t>
      </w:r>
      <w:r>
        <w:rPr>
          <w:bCs/>
          <w:b/>
        </w:rPr>
        <w:t xml:space="preserve">Por que a versão de 2017 e não a revisada?</w:t>
      </w:r>
      <w:r>
        <w:rPr>
          <w:bCs/>
          <w:b/>
        </w:rPr>
        <w:t xml:space="preserve">”</w:t>
      </w:r>
      <w:r>
        <w:t xml:space="preserve"> </w:t>
      </w:r>
      <w:r>
        <w:t xml:space="preserve">Por consistência: todas as avaliações foram feitas com a mesma versão ao longo da revisão, e isso está declarado nos Métodos.</w:t>
      </w:r>
    </w:p>
    <w:p>
      <w:r>
        <w:pict>
          <v:rect style="width:0;height:1.5pt" o:hralign="center" o:hrstd="t" o:hr="t"/>
        </w:pict>
      </w:r>
    </w:p>
    <w:bookmarkEnd w:id="94"/>
    <w:bookmarkEnd w:id="95"/>
    <w:bookmarkStart w:id="100" w:name="X8a3a2cc1cd3329824e77d55269c9547f32173f2"/>
    <w:p>
      <w:pPr>
        <w:pStyle w:val="Heading3"/>
      </w:pPr>
      <w:r>
        <w:t xml:space="preserve">Passo 7 — GRADE adaptado a desfechos de prevalência</w:t>
      </w:r>
    </w:p>
    <w:bookmarkStart w:id="96" w:name="o-que-é-o-grade-e-por-que-adaptado"/>
    <w:p>
      <w:pPr>
        <w:pStyle w:val="Heading4"/>
      </w:pPr>
      <w:r>
        <w:t xml:space="preserve">O que é o GRADE e por que</w:t>
      </w:r>
      <w:r>
        <w:t xml:space="preserve"> </w:t>
      </w:r>
      <w:r>
        <w:t xml:space="preserve">“</w:t>
      </w:r>
      <w:r>
        <w:t xml:space="preserve">adaptado</w:t>
      </w:r>
      <w:r>
        <w:t xml:space="preserve">”</w:t>
      </w:r>
    </w:p>
    <w:p>
      <w:pPr>
        <w:pStyle w:val="FirstParagraph"/>
      </w:pPr>
      <w:r>
        <w:rPr>
          <w:bCs/>
          <w:b/>
        </w:rPr>
        <w:t xml:space="preserve">[conhecimento geral]</w:t>
      </w:r>
      <w:r>
        <w:t xml:space="preserve"> </w:t>
      </w:r>
      <w:r>
        <w:t xml:space="preserve">O GRADE (Grading of Recommendations Assessment, Development and Evaluation) classifica a</w:t>
      </w:r>
      <w:r>
        <w:t xml:space="preserve"> </w:t>
      </w:r>
      <w:r>
        <w:rPr>
          <w:bCs/>
          <w:b/>
        </w:rPr>
        <w:t xml:space="preserve">certeza da evidência por desfecho</w:t>
      </w:r>
      <w:r>
        <w:t xml:space="preserve"> </w:t>
      </w:r>
      <w:r>
        <w:t xml:space="preserve">(não por estudo) em quatro níveis: alta (●●●●), moderada (●●●○), baixa (●●○○) e muito baixa (●○○○). Para perguntas de efeito, ensaios randomizados partem de</w:t>
      </w:r>
      <w:r>
        <w:t xml:space="preserve"> </w:t>
      </w:r>
      <w:r>
        <w:t xml:space="preserve">“</w:t>
      </w:r>
      <w:r>
        <w:t xml:space="preserve">alta</w:t>
      </w:r>
      <w:r>
        <w:t xml:space="preserve">”</w:t>
      </w:r>
      <w:r>
        <w:t xml:space="preserve"> </w:t>
      </w:r>
      <w:r>
        <w:t xml:space="preserve">e estudos observacionais partem de</w:t>
      </w:r>
      <w:r>
        <w:t xml:space="preserve"> </w:t>
      </w:r>
      <w:r>
        <w:t xml:space="preserve">“</w:t>
      </w:r>
      <w:r>
        <w:t xml:space="preserve">baixa</w:t>
      </w:r>
      <w:r>
        <w:t xml:space="preserve">”</w:t>
      </w:r>
      <w:r>
        <w:t xml:space="preserve">; cinco domínios podem</w:t>
      </w:r>
      <w:r>
        <w:t xml:space="preserve"> </w:t>
      </w:r>
      <w:r>
        <w:rPr>
          <w:bCs/>
          <w:b/>
        </w:rPr>
        <w:t xml:space="preserve">rebaixar</w:t>
      </w:r>
      <w:r>
        <w:t xml:space="preserve"> </w:t>
      </w:r>
      <w:r>
        <w:t xml:space="preserve">(risco de viés, inconsistência, evidência indireta, imprecisão, viés de publicação), cada um em um nível (</w:t>
      </w:r>
      <w:r>
        <w:t xml:space="preserve">“</w:t>
      </w:r>
      <w:r>
        <w:t xml:space="preserve">grave</w:t>
      </w:r>
      <w:r>
        <w:t xml:space="preserve">”</w:t>
      </w:r>
      <w:r>
        <w:t xml:space="preserve">, −1) ou dois (</w:t>
      </w:r>
      <w:r>
        <w:t xml:space="preserve">“</w:t>
      </w:r>
      <w:r>
        <w:t xml:space="preserve">muito grave</w:t>
      </w:r>
      <w:r>
        <w:t xml:space="preserve">”</w:t>
      </w:r>
      <w:r>
        <w:t xml:space="preserve">, −2), e</w:t>
      </w:r>
      <w:r>
        <w:t xml:space="preserve"> </w:t>
      </w:r>
      <w:r>
        <w:t xml:space="preserve">“</w:t>
      </w:r>
      <w:r>
        <w:t xml:space="preserve">muito baixa</w:t>
      </w:r>
      <w:r>
        <w:t xml:space="preserve">”</w:t>
      </w:r>
      <w:r>
        <w:t xml:space="preserve"> </w:t>
      </w:r>
      <w:r>
        <w:t xml:space="preserve">é o piso. Existem também três domínios de</w:t>
      </w:r>
      <w:r>
        <w:t xml:space="preserve"> </w:t>
      </w:r>
      <w:r>
        <w:rPr>
          <w:bCs/>
          <w:b/>
        </w:rPr>
        <w:t xml:space="preserve">elevação</w:t>
      </w:r>
      <w:r>
        <w:t xml:space="preserve"> </w:t>
      </w:r>
      <w:r>
        <w:t xml:space="preserve">(efeito grande, gradiente dose-resposta, confundimento residual que reduziria o efeito), em geral aplicados só quando não há rebaixamentos graves; o manuscrito não aplica nenhuma elevação.</w:t>
      </w:r>
    </w:p>
    <w:p>
      <w:pPr>
        <w:pStyle w:val="BodyText"/>
      </w:pPr>
      <w:r>
        <w:t xml:space="preserve">“</w:t>
      </w:r>
      <w:r>
        <w:t xml:space="preserve">Adaptado</w:t>
      </w:r>
      <w:r>
        <w:t xml:space="preserve">”</w:t>
      </w:r>
      <w:r>
        <w:t xml:space="preserve"> </w:t>
      </w:r>
      <w:r>
        <w:t xml:space="preserve">porque</w:t>
      </w:r>
      <w:r>
        <w:t xml:space="preserve"> </w:t>
      </w:r>
      <w:r>
        <w:rPr>
          <w:bCs/>
          <w:b/>
        </w:rPr>
        <w:t xml:space="preserve">não existe adaptação universalmente padronizada do GRADE para prevalência</w:t>
      </w:r>
      <w:r>
        <w:t xml:space="preserve">. O manuscrito cita Barker et al. (2021), as Diretrizes do Ministério da Saúde (2014b) e Munn et al. (2015), e, por isso,</w:t>
      </w:r>
      <w:r>
        <w:t xml:space="preserve"> </w:t>
      </w:r>
      <w:r>
        <w:rPr>
          <w:bCs/>
          <w:b/>
        </w:rPr>
        <w:t xml:space="preserve">explicita critérios e justificativas domínio a domínio</w:t>
      </w:r>
      <w:r>
        <w:t xml:space="preserve"> </w:t>
      </w:r>
      <w:r>
        <w:t xml:space="preserve">no Anexo F. Isso é um ponto forte metodológico: em vez de esconder a ausência de padrão, você tornou cada julgamento auditável.</w:t>
      </w:r>
    </w:p>
    <w:bookmarkEnd w:id="96"/>
    <w:bookmarkStart w:id="97" w:name="X19e552b798501be6a98d3a876832ba261056642"/>
    <w:p>
      <w:pPr>
        <w:pStyle w:val="Heading4"/>
      </w:pPr>
      <w:r>
        <w:t xml:space="preserve">Ponto de partida: baixa, e por que a conclusão não muda</w:t>
      </w:r>
    </w:p>
    <w:p>
      <w:pPr>
        <w:pStyle w:val="FirstParagraph"/>
      </w:pPr>
      <w:r>
        <w:t xml:space="preserve">O manuscrito reconhece que</w:t>
      </w:r>
      <w:r>
        <w:t xml:space="preserve"> </w:t>
      </w:r>
      <w:r>
        <w:rPr>
          <w:bCs/>
          <w:b/>
        </w:rPr>
        <w:t xml:space="preserve">não há consenso</w:t>
      </w:r>
      <w:r>
        <w:t xml:space="preserve"> </w:t>
      </w:r>
      <w:r>
        <w:t xml:space="preserve">sobre o ponto de partida em perguntas de prevalência: parte da literatura (Migliavaca et al., 2020; Murad et al., 2017) sugere que estudos observacionais descritivos possam</w:t>
      </w:r>
      <w:r>
        <w:t xml:space="preserve"> </w:t>
      </w:r>
      <w:r>
        <w:rPr>
          <w:bCs/>
          <w:b/>
        </w:rPr>
        <w:t xml:space="preserve">começar em alta</w:t>
      </w:r>
      <w:r>
        <w:t xml:space="preserve">, porque não há inferência causal a proteger (confundimento não é problema para uma estimativa de frequência).</w:t>
      </w:r>
      <w:r>
        <w:t xml:space="preserve"> </w:t>
      </w:r>
      <w:r>
        <w:rPr>
          <w:bCs/>
          <w:b/>
        </w:rPr>
        <w:t xml:space="preserve">Por decisão metodológica dos autores, adotou-se certeza inicial baixa.</w:t>
      </w:r>
    </w:p>
    <w:p>
      <w:pPr>
        <w:pStyle w:val="BodyText"/>
      </w:pPr>
      <w:r>
        <w:t xml:space="preserve">Por que isso não altera o resultado:</w:t>
      </w:r>
      <w:r>
        <w:t xml:space="preserve"> </w:t>
      </w:r>
      <w:r>
        <w:rPr>
          <w:bCs/>
          <w:b/>
        </w:rPr>
        <w:t xml:space="preserve">[conhecimento geral + Anexo F]</w:t>
      </w:r>
      <w:r>
        <w:t xml:space="preserve"> </w:t>
      </w:r>
      <w:r>
        <w:t xml:space="preserve">para o sintoma ocular há risco de viés grave (−1), inconsistência</w:t>
      </w:r>
      <w:r>
        <w:t xml:space="preserve"> </w:t>
      </w:r>
      <w:r>
        <w:rPr>
          <w:bCs/>
          <w:b/>
        </w:rPr>
        <w:t xml:space="preserve">muito grave</w:t>
      </w:r>
      <w:r>
        <w:t xml:space="preserve"> </w:t>
      </w:r>
      <w:r>
        <w:t xml:space="preserve">(−2) e imprecisão grave (−1). Partindo de alta (4 níveis), −4 chega a muito baixa; partindo de baixa, o primeiro rebaixamento já chega ao piso. Para os desfechos objetivos, há três domínios graves (−3), o que também leva</w:t>
      </w:r>
      <w:r>
        <w:t xml:space="preserve"> </w:t>
      </w:r>
      <w:r>
        <w:t xml:space="preserve">“</w:t>
      </w:r>
      <w:r>
        <w:t xml:space="preserve">alta</w:t>
      </w:r>
      <w:r>
        <w:t xml:space="preserve">”</w:t>
      </w:r>
      <w:r>
        <w:t xml:space="preserve"> </w:t>
      </w:r>
      <w:r>
        <w:t xml:space="preserve">a</w:t>
      </w:r>
      <w:r>
        <w:t xml:space="preserve"> </w:t>
      </w:r>
      <w:r>
        <w:t xml:space="preserve">“</w:t>
      </w:r>
      <w:r>
        <w:t xml:space="preserve">muito baixa</w:t>
      </w:r>
      <w:r>
        <w:t xml:space="preserve">”</w:t>
      </w:r>
      <w:r>
        <w:t xml:space="preserve">. Logo,</w:t>
      </w:r>
      <w:r>
        <w:t xml:space="preserve"> </w:t>
      </w:r>
      <w:r>
        <w:rPr>
          <w:bCs/>
          <w:b/>
        </w:rPr>
        <w:t xml:space="preserve">a certeza final é muito baixa com qualquer ponto de partida</w:t>
      </w:r>
      <w:r>
        <w:t xml:space="preserve">, e o manuscrito diz isso textualmente.</w:t>
      </w:r>
    </w:p>
    <w:bookmarkEnd w:id="97"/>
    <w:bookmarkStart w:id="98" w:name="X9ad914a9a7e0f11f9c3b8ce0e6bb33be4235c8a"/>
    <w:p>
      <w:pPr>
        <w:pStyle w:val="Heading4"/>
      </w:pPr>
      <w:r>
        <w:t xml:space="preserve">Os cinco domínios, julgamento por desfecho (Anexo F simplificado)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Desfecho</w:t>
            </w:r>
          </w:p>
        </w:tc>
        <w:tc>
          <w:tcPr/>
          <w:p>
            <w:pPr>
              <w:pStyle w:val="Compact"/>
              <w:jc w:val="left"/>
            </w:pPr>
            <w:r>
              <w:t xml:space="preserve">Risco de viés</w:t>
            </w:r>
          </w:p>
        </w:tc>
        <w:tc>
          <w:tcPr/>
          <w:p>
            <w:pPr>
              <w:pStyle w:val="Compact"/>
              <w:jc w:val="left"/>
            </w:pPr>
            <w:r>
              <w:t xml:space="preserve">Inconsistência</w:t>
            </w:r>
          </w:p>
        </w:tc>
        <w:tc>
          <w:tcPr/>
          <w:p>
            <w:pPr>
              <w:pStyle w:val="Compact"/>
              <w:jc w:val="left"/>
            </w:pPr>
            <w:r>
              <w:t xml:space="preserve">Evidência indireta</w:t>
            </w:r>
          </w:p>
        </w:tc>
        <w:tc>
          <w:tcPr/>
          <w:p>
            <w:pPr>
              <w:pStyle w:val="Compact"/>
              <w:jc w:val="left"/>
            </w:pPr>
            <w:r>
              <w:t xml:space="preserve">Imprecisão</w:t>
            </w:r>
          </w:p>
        </w:tc>
        <w:tc>
          <w:tcPr/>
          <w:p>
            <w:pPr>
              <w:pStyle w:val="Compact"/>
              <w:jc w:val="left"/>
            </w:pPr>
            <w:r>
              <w:t xml:space="preserve">Viés de publicação</w:t>
            </w:r>
          </w:p>
        </w:tc>
        <w:tc>
          <w:tcPr/>
          <w:p>
            <w:pPr>
              <w:pStyle w:val="Compact"/>
              <w:jc w:val="left"/>
            </w:pPr>
            <w:r>
              <w:t xml:space="preserve">Certeza</w:t>
            </w:r>
          </w:p>
        </w:tc>
      </w:tr>
      <w:tr>
        <w:tc>
          <w:tcPr/>
          <w:p>
            <w:pPr>
              <w:pStyle w:val="Compact"/>
              <w:jc w:val="left"/>
            </w:pPr>
            <w:r>
              <w:t xml:space="preserve">Sintoma ocular</w:t>
            </w:r>
          </w:p>
        </w:tc>
        <w:tc>
          <w:tcPr/>
          <w:p>
            <w:pPr>
              <w:pStyle w:val="Compact"/>
              <w:jc w:val="left"/>
            </w:pPr>
            <w:r>
              <w:t xml:space="preserve">Grave (amostragem não probabilística; tamanho não justificado; taxa de resposta não relatada; autorrelato)</w:t>
            </w:r>
          </w:p>
        </w:tc>
        <w:tc>
          <w:tcPr/>
          <w:p>
            <w:pPr>
              <w:pStyle w:val="Compact"/>
              <w:jc w:val="left"/>
            </w:pPr>
            <w:r>
              <w:rPr>
                <w:bCs/>
                <w:b/>
              </w:rPr>
              <w:t xml:space="preserve">Muito grave</w:t>
            </w:r>
            <w:r>
              <w:t xml:space="preserve"> </w:t>
            </w:r>
            <w:r>
              <w:t xml:space="preserve">(I² = 93%; 19,4% a 56,1%; IP 7–83%)</w:t>
            </w:r>
          </w:p>
        </w:tc>
        <w:tc>
          <w:tcPr/>
          <w:p>
            <w:pPr>
              <w:pStyle w:val="Compact"/>
              <w:jc w:val="left"/>
            </w:pPr>
            <w:r>
              <w:t xml:space="preserve">Não rebaixado</w:t>
            </w:r>
          </w:p>
        </w:tc>
        <w:tc>
          <w:tcPr/>
          <w:p>
            <w:pPr>
              <w:pStyle w:val="Compact"/>
              <w:jc w:val="left"/>
            </w:pPr>
            <w:r>
              <w:t xml:space="preserve">Grave (IC95% 21,9–56,5; sem limiar pré-especificado)</w:t>
            </w:r>
          </w:p>
        </w:tc>
        <w:tc>
          <w:tcPr/>
          <w:p>
            <w:pPr>
              <w:pStyle w:val="Compact"/>
              <w:jc w:val="left"/>
            </w:pPr>
            <w:r>
              <w:t xml:space="preserve">Não rebaixado (qualitativo; não excluível, sem base formal)</w:t>
            </w:r>
          </w:p>
        </w:tc>
        <w:tc>
          <w:tcPr/>
          <w:p>
            <w:pPr>
              <w:pStyle w:val="Compact"/>
              <w:jc w:val="left"/>
            </w:pPr>
            <w:r>
              <w:t xml:space="preserve">Muito baixa</w:t>
            </w:r>
          </w:p>
        </w:tc>
      </w:tr>
      <w:tr>
        <w:tc>
          <w:tcPr/>
          <w:p>
            <w:pPr>
              <w:pStyle w:val="Compact"/>
              <w:jc w:val="left"/>
            </w:pPr>
            <w:r>
              <w:t xml:space="preserve">Sintoma respiratório</w:t>
            </w:r>
          </w:p>
        </w:tc>
        <w:tc>
          <w:tcPr/>
          <w:p>
            <w:pPr>
              <w:pStyle w:val="Compact"/>
              <w:jc w:val="left"/>
            </w:pPr>
            <w:r>
              <w:t xml:space="preserve">Grave (idem)</w:t>
            </w:r>
          </w:p>
        </w:tc>
        <w:tc>
          <w:tcPr/>
          <w:p>
            <w:pPr>
              <w:pStyle w:val="Compact"/>
              <w:jc w:val="left"/>
            </w:pPr>
            <w:r>
              <w:rPr>
                <w:bCs/>
                <w:b/>
              </w:rPr>
              <w:t xml:space="preserve">Muito grave</w:t>
            </w:r>
            <w:r>
              <w:t xml:space="preserve"> </w:t>
            </w:r>
            <w:r>
              <w:t xml:space="preserve">(I² = 91%; 20,7% a 57,3%; IP 15–74%)</w:t>
            </w:r>
          </w:p>
        </w:tc>
        <w:tc>
          <w:tcPr/>
          <w:p>
            <w:pPr>
              <w:pStyle w:val="Compact"/>
              <w:jc w:val="left"/>
            </w:pPr>
            <w:r>
              <w:t xml:space="preserve">Não rebaixado</w:t>
            </w:r>
          </w:p>
        </w:tc>
        <w:tc>
          <w:tcPr/>
          <w:p>
            <w:pPr>
              <w:pStyle w:val="Compact"/>
              <w:jc w:val="left"/>
            </w:pPr>
            <w:r>
              <w:t xml:space="preserve">Grave (IC95% 30,4–53,9)</w:t>
            </w:r>
          </w:p>
        </w:tc>
        <w:tc>
          <w:tcPr/>
          <w:p>
            <w:pPr>
              <w:pStyle w:val="Compact"/>
              <w:jc w:val="left"/>
            </w:pPr>
            <w:r>
              <w:t xml:space="preserve">Não rebaixado (idem)</w:t>
            </w:r>
          </w:p>
        </w:tc>
        <w:tc>
          <w:tcPr/>
          <w:p>
            <w:pPr>
              <w:pStyle w:val="Compact"/>
              <w:jc w:val="left"/>
            </w:pPr>
            <w:r>
              <w:t xml:space="preserve">Muito baixa</w:t>
            </w:r>
          </w:p>
        </w:tc>
      </w:tr>
      <w:tr>
        <w:tc>
          <w:tcPr/>
          <w:p>
            <w:pPr>
              <w:pStyle w:val="Compact"/>
              <w:jc w:val="left"/>
            </w:pPr>
            <w:r>
              <w:t xml:space="preserve">Qualquer sintoma (narrativo)</w:t>
            </w:r>
          </w:p>
        </w:tc>
        <w:tc>
          <w:tcPr/>
          <w:p>
            <w:pPr>
              <w:pStyle w:val="Compact"/>
              <w:jc w:val="left"/>
            </w:pPr>
            <w:r>
              <w:t xml:space="preserve">Grave (um resumo de congresso e um inquérito com preocupação alta; autorrelato)</w:t>
            </w:r>
          </w:p>
        </w:tc>
        <w:tc>
          <w:tcPr/>
          <w:p>
            <w:pPr>
              <w:pStyle w:val="Compact"/>
              <w:jc w:val="left"/>
            </w:pPr>
            <w:r>
              <w:t xml:space="preserve">Grave (55,6% e 73,2%, IC95% não sobrepostos)</w:t>
            </w:r>
          </w:p>
        </w:tc>
        <w:tc>
          <w:tcPr/>
          <w:p>
            <w:pPr>
              <w:pStyle w:val="Compact"/>
              <w:jc w:val="left"/>
            </w:pPr>
            <w:r>
              <w:t xml:space="preserve">Não rebaixado</w:t>
            </w:r>
          </w:p>
        </w:tc>
        <w:tc>
          <w:tcPr/>
          <w:p>
            <w:pPr>
              <w:pStyle w:val="Compact"/>
              <w:jc w:val="left"/>
            </w:pPr>
            <w:r>
              <w:t xml:space="preserve">Grave (dois estudos; sem estimativa combinada)</w:t>
            </w:r>
          </w:p>
        </w:tc>
        <w:tc>
          <w:tcPr/>
          <w:p>
            <w:pPr>
              <w:pStyle w:val="Compact"/>
              <w:jc w:val="left"/>
            </w:pPr>
            <w:r>
              <w:t xml:space="preserve">Não rebaixado (apenas dois estudos; dois inquéritos não recuperados)</w:t>
            </w:r>
          </w:p>
        </w:tc>
        <w:tc>
          <w:tcPr/>
          <w:p>
            <w:pPr>
              <w:pStyle w:val="Compact"/>
              <w:jc w:val="left"/>
            </w:pPr>
            <w:r>
              <w:t xml:space="preserve">Muito baixa</w:t>
            </w:r>
          </w:p>
        </w:tc>
      </w:tr>
      <w:tr>
        <w:tc>
          <w:tcPr/>
          <w:p>
            <w:pPr>
              <w:pStyle w:val="Compact"/>
              <w:jc w:val="left"/>
            </w:pPr>
            <w:r>
              <w:t xml:space="preserve">Função pulmonar</w:t>
            </w:r>
          </w:p>
        </w:tc>
        <w:tc>
          <w:tcPr/>
          <w:p>
            <w:pPr>
              <w:pStyle w:val="Compact"/>
              <w:jc w:val="left"/>
            </w:pPr>
            <w:r>
              <w:t xml:space="preserve">Grave (exposição pela ocupação; ajuste só por idade e IMC)</w:t>
            </w:r>
          </w:p>
        </w:tc>
        <w:tc>
          <w:tcPr/>
          <w:p>
            <w:pPr>
              <w:pStyle w:val="Compact"/>
              <w:jc w:val="left"/>
            </w:pPr>
            <w:r>
              <w:t xml:space="preserve">n/a (1 estudo)</w:t>
            </w:r>
          </w:p>
        </w:tc>
        <w:tc>
          <w:tcPr/>
          <w:p>
            <w:pPr>
              <w:pStyle w:val="Compact"/>
              <w:jc w:val="left"/>
            </w:pPr>
            <w:r>
              <w:rPr>
                <w:bCs/>
                <w:b/>
              </w:rPr>
              <w:t xml:space="preserve">Grave</w:t>
            </w:r>
            <w:r>
              <w:t xml:space="preserve"> </w:t>
            </w:r>
            <w:r>
              <w:t xml:space="preserve">(exposição mista)</w:t>
            </w:r>
          </w:p>
        </w:tc>
        <w:tc>
          <w:tcPr/>
          <w:p>
            <w:pPr>
              <w:pStyle w:val="Compact"/>
              <w:jc w:val="left"/>
            </w:pPr>
            <w:r>
              <w:t xml:space="preserve">Grave (sem medida de efeito nem IC95% no original)</w:t>
            </w:r>
          </w:p>
        </w:tc>
        <w:tc>
          <w:tcPr/>
          <w:p>
            <w:pPr>
              <w:pStyle w:val="Compact"/>
              <w:jc w:val="left"/>
            </w:pPr>
            <w:r>
              <w:t xml:space="preserve">Não avaliável com estudo único</w:t>
            </w:r>
          </w:p>
        </w:tc>
        <w:tc>
          <w:tcPr/>
          <w:p>
            <w:pPr>
              <w:pStyle w:val="Compact"/>
              <w:jc w:val="left"/>
            </w:pPr>
            <w:r>
              <w:t xml:space="preserve">Muito baixa</w:t>
            </w:r>
          </w:p>
        </w:tc>
      </w:tr>
      <w:tr>
        <w:tc>
          <w:tcPr/>
          <w:p>
            <w:pPr>
              <w:pStyle w:val="Compact"/>
              <w:jc w:val="left"/>
            </w:pPr>
            <w:r>
              <w:t xml:space="preserve">Biomarcadores urinários</w:t>
            </w:r>
          </w:p>
        </w:tc>
        <w:tc>
          <w:tcPr/>
          <w:p>
            <w:pPr>
              <w:pStyle w:val="Compact"/>
              <w:jc w:val="left"/>
            </w:pPr>
            <w:r>
              <w:t xml:space="preserve">Grave (sem estimativa comparativa ajustada)</w:t>
            </w:r>
          </w:p>
        </w:tc>
        <w:tc>
          <w:tcPr/>
          <w:p>
            <w:pPr>
              <w:pStyle w:val="Compact"/>
              <w:jc w:val="left"/>
            </w:pPr>
            <w:r>
              <w:t xml:space="preserve">n/a</w:t>
            </w:r>
          </w:p>
        </w:tc>
        <w:tc>
          <w:tcPr/>
          <w:p>
            <w:pPr>
              <w:pStyle w:val="Compact"/>
              <w:jc w:val="left"/>
            </w:pPr>
            <w:r>
              <w:rPr>
                <w:bCs/>
                <w:b/>
              </w:rPr>
              <w:t xml:space="preserve">Grave</w:t>
            </w:r>
            <w:r>
              <w:t xml:space="preserve"> </w:t>
            </w:r>
            <w:r>
              <w:t xml:space="preserve">(biomarcadores substitutos; sem desfecho clínico; coexposições)</w:t>
            </w:r>
          </w:p>
        </w:tc>
        <w:tc>
          <w:tcPr/>
          <w:p>
            <w:pPr>
              <w:pStyle w:val="Compact"/>
              <w:jc w:val="left"/>
            </w:pPr>
            <w:r>
              <w:t xml:space="preserve">Grave (sem IC no original)</w:t>
            </w:r>
          </w:p>
        </w:tc>
        <w:tc>
          <w:tcPr/>
          <w:p>
            <w:pPr>
              <w:pStyle w:val="Compact"/>
              <w:jc w:val="left"/>
            </w:pPr>
            <w:r>
              <w:t xml:space="preserve">Não avaliável</w:t>
            </w:r>
          </w:p>
        </w:tc>
        <w:tc>
          <w:tcPr/>
          <w:p>
            <w:pPr>
              <w:pStyle w:val="Compact"/>
              <w:jc w:val="left"/>
            </w:pPr>
            <w:r>
              <w:t xml:space="preserve">Muito baixa</w:t>
            </w:r>
          </w:p>
        </w:tc>
      </w:tr>
      <w:tr>
        <w:tc>
          <w:tcPr/>
          <w:p>
            <w:pPr>
              <w:pStyle w:val="Compact"/>
              <w:jc w:val="left"/>
            </w:pPr>
            <w:r>
              <w:t xml:space="preserve">Mucosa nasal</w:t>
            </w:r>
          </w:p>
        </w:tc>
        <w:tc>
          <w:tcPr/>
          <w:p>
            <w:pPr>
              <w:pStyle w:val="Compact"/>
              <w:jc w:val="left"/>
            </w:pPr>
            <w:r>
              <w:t xml:space="preserve">Grave (exposição por proxy; sem controle de confundidores; perdas)</w:t>
            </w:r>
          </w:p>
        </w:tc>
        <w:tc>
          <w:tcPr/>
          <w:p>
            <w:pPr>
              <w:pStyle w:val="Compact"/>
              <w:jc w:val="left"/>
            </w:pPr>
            <w:r>
              <w:t xml:space="preserve">n/a</w:t>
            </w:r>
          </w:p>
        </w:tc>
        <w:tc>
          <w:tcPr/>
          <w:p>
            <w:pPr>
              <w:pStyle w:val="Compact"/>
              <w:jc w:val="left"/>
            </w:pPr>
            <w:r>
              <w:rPr>
                <w:bCs/>
                <w:b/>
              </w:rPr>
              <w:t xml:space="preserve">Grave</w:t>
            </w:r>
            <w:r>
              <w:t xml:space="preserve"> </w:t>
            </w:r>
            <w:r>
              <w:t xml:space="preserve">(coexposições; atribuição limitada)</w:t>
            </w:r>
          </w:p>
        </w:tc>
        <w:tc>
          <w:tcPr/>
          <w:p>
            <w:pPr>
              <w:pStyle w:val="Compact"/>
              <w:jc w:val="left"/>
            </w:pPr>
            <w:r>
              <w:t xml:space="preserve">Grave (IC95% 2,0–95,8; 17 eventos)</w:t>
            </w:r>
          </w:p>
        </w:tc>
        <w:tc>
          <w:tcPr/>
          <w:p>
            <w:pPr>
              <w:pStyle w:val="Compact"/>
              <w:jc w:val="left"/>
            </w:pPr>
            <w:r>
              <w:t xml:space="preserve">Não avaliável</w:t>
            </w:r>
          </w:p>
        </w:tc>
        <w:tc>
          <w:tcPr/>
          <w:p>
            <w:pPr>
              <w:pStyle w:val="Compact"/>
              <w:jc w:val="left"/>
            </w:pPr>
            <w:r>
              <w:t xml:space="preserve">Muito baixa</w:t>
            </w:r>
          </w:p>
        </w:tc>
      </w:tr>
      <w:tr>
        <w:tc>
          <w:tcPr/>
          <w:p>
            <w:pPr>
              <w:pStyle w:val="Compact"/>
              <w:jc w:val="left"/>
            </w:pPr>
            <w:r>
              <w:t xml:space="preserve">HPV nasal</w:t>
            </w:r>
          </w:p>
        </w:tc>
        <w:tc>
          <w:tcPr/>
          <w:p>
            <w:pPr>
              <w:pStyle w:val="Compact"/>
              <w:jc w:val="left"/>
            </w:pPr>
            <w:r>
              <w:t xml:space="preserve">Grave (exposição autorrelatada; sem ajuste)</w:t>
            </w:r>
          </w:p>
        </w:tc>
        <w:tc>
          <w:tcPr/>
          <w:p>
            <w:pPr>
              <w:pStyle w:val="Compact"/>
              <w:jc w:val="left"/>
            </w:pPr>
            <w:r>
              <w:t xml:space="preserve">n/a</w:t>
            </w:r>
          </w:p>
        </w:tc>
        <w:tc>
          <w:tcPr/>
          <w:p>
            <w:pPr>
              <w:pStyle w:val="Compact"/>
              <w:jc w:val="left"/>
            </w:pPr>
            <w:r>
              <w:rPr>
                <w:bCs/>
                <w:b/>
              </w:rPr>
              <w:t xml:space="preserve">Grave</w:t>
            </w:r>
            <w:r>
              <w:t xml:space="preserve"> </w:t>
            </w:r>
            <w:r>
              <w:t xml:space="preserve">(HPV-DNA é marcador de detecção; indireto para infecção, transmissão ou doença)</w:t>
            </w:r>
          </w:p>
        </w:tc>
        <w:tc>
          <w:tcPr/>
          <w:p>
            <w:pPr>
              <w:pStyle w:val="Compact"/>
              <w:jc w:val="left"/>
            </w:pPr>
            <w:r>
              <w:t xml:space="preserve">Grave (IC95% 1,9–14,2; 46 eventos)</w:t>
            </w:r>
          </w:p>
        </w:tc>
        <w:tc>
          <w:tcPr/>
          <w:p>
            <w:pPr>
              <w:pStyle w:val="Compact"/>
              <w:jc w:val="left"/>
            </w:pPr>
            <w:r>
              <w:t xml:space="preserve">Não avaliável</w:t>
            </w:r>
          </w:p>
        </w:tc>
        <w:tc>
          <w:tcPr/>
          <w:p>
            <w:pPr>
              <w:pStyle w:val="Compact"/>
              <w:jc w:val="left"/>
            </w:pPr>
            <w:r>
              <w:t xml:space="preserve">Muito baixa</w:t>
            </w:r>
          </w:p>
        </w:tc>
      </w:tr>
      <w:tr>
        <w:tc>
          <w:tcPr/>
          <w:p>
            <w:pPr>
              <w:pStyle w:val="Compact"/>
              <w:jc w:val="left"/>
            </w:pPr>
            <w:r>
              <w:t xml:space="preserve">Câncer ou DPOC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Sem evidência</w:t>
            </w:r>
          </w:p>
        </w:tc>
      </w:tr>
    </w:tbl>
    <w:p>
      <w:pPr>
        <w:pStyle w:val="BodyText"/>
      </w:pPr>
      <w:r>
        <w:t xml:space="preserve">Agora, as quatro decisões</w:t>
      </w:r>
      <w:r>
        <w:t xml:space="preserve"> </w:t>
      </w:r>
      <w:r>
        <w:t xml:space="preserve">“</w:t>
      </w:r>
      <w:r>
        <w:t xml:space="preserve">difíceis</w:t>
      </w:r>
      <w:r>
        <w:t xml:space="preserve">”</w:t>
      </w:r>
      <w:r>
        <w:t xml:space="preserve"> </w:t>
      </w:r>
      <w:r>
        <w:t xml:space="preserve">desse perfil, que são exatamente as que a banca tende a explorar.</w:t>
      </w:r>
    </w:p>
    <w:p>
      <w:pPr>
        <w:pStyle w:val="BodyText"/>
      </w:pPr>
      <w:r>
        <w:rPr>
          <w:bCs/>
          <w:b/>
        </w:rPr>
        <w:t xml:space="preserve">1. Por que evidência indireta não foi rebaixada na prevalência, mas foi nos biomarcadores.</w:t>
      </w:r>
      <w:r>
        <w:t xml:space="preserve"> </w:t>
      </w:r>
      <w:r>
        <w:t xml:space="preserve">Na pergunta de frequência (CoCoPop), a</w:t>
      </w:r>
      <w:r>
        <w:t xml:space="preserve"> </w:t>
      </w:r>
      <w:r>
        <w:rPr>
          <w:bCs/>
          <w:b/>
        </w:rPr>
        <w:t xml:space="preserve">condição</w:t>
      </w:r>
      <w:r>
        <w:t xml:space="preserve"> </w:t>
      </w:r>
      <w:r>
        <w:t xml:space="preserve">foi definida como</w:t>
      </w:r>
      <w:r>
        <w:t xml:space="preserve"> </w:t>
      </w:r>
      <w:r>
        <w:t xml:space="preserve">“</w:t>
      </w:r>
      <w:r>
        <w:t xml:space="preserve">sintomas oculares e respiratórios autorrelatados relacionados à exposição</w:t>
      </w:r>
      <w:r>
        <w:t xml:space="preserve">”</w:t>
      </w:r>
      <w:r>
        <w:t xml:space="preserve">. Ou seja,</w:t>
      </w:r>
      <w:r>
        <w:t xml:space="preserve"> </w:t>
      </w:r>
      <w:r>
        <w:rPr>
          <w:bCs/>
          <w:b/>
        </w:rPr>
        <w:t xml:space="preserve">o sintoma autorrelatado é o próprio desfecho da pergunta, não um substituto</w:t>
      </w:r>
      <w:r>
        <w:t xml:space="preserve">. A aferição da exposição pela ocupação e o autorrelato limitam a interpretação causal e a extrapolação para diferentes intensidades de exposição, mas foram contabilizados no</w:t>
      </w:r>
      <w:r>
        <w:t xml:space="preserve"> </w:t>
      </w:r>
      <w:r>
        <w:rPr>
          <w:bCs/>
          <w:b/>
        </w:rPr>
        <w:t xml:space="preserve">risco de viés</w:t>
      </w:r>
      <w:r>
        <w:t xml:space="preserve">, não na diretividade da estimativa de frequência. Já nos desfechos objetivos a pergunta é de</w:t>
      </w:r>
      <w:r>
        <w:t xml:space="preserve"> </w:t>
      </w:r>
      <w:r>
        <w:rPr>
          <w:bCs/>
          <w:b/>
        </w:rPr>
        <w:t xml:space="preserve">efeito</w:t>
      </w:r>
      <w:r>
        <w:t xml:space="preserve"> </w:t>
      </w:r>
      <w:r>
        <w:t xml:space="preserve">(PECO), e ali o que foi medido</w:t>
      </w:r>
      <w:r>
        <w:t xml:space="preserve"> </w:t>
      </w:r>
      <w:r>
        <w:rPr>
          <w:bCs/>
          <w:b/>
        </w:rPr>
        <w:t xml:space="preserve">é</w:t>
      </w:r>
      <w:r>
        <w:t xml:space="preserve"> </w:t>
      </w:r>
      <w:r>
        <w:t xml:space="preserve">indireto em relação ao que importa: a exposição é mista (fumaça + gases anestésicos + radiação), os metabólitos urinários e o malondialdeído são marcadores de exposição/estresse oxidativo sem desfecho clínico, a metaplasia é resposta inespecífica a irritantes e o HPV-DNA é detecção, não infecção, transmissão ou doença. Por isso,</w:t>
      </w:r>
      <w:r>
        <w:t xml:space="preserve"> </w:t>
      </w:r>
      <w:r>
        <w:t xml:space="preserve">“</w:t>
      </w:r>
      <w:r>
        <w:t xml:space="preserve">grave</w:t>
      </w:r>
      <w:r>
        <w:t xml:space="preserve">”</w:t>
      </w:r>
      <w:r>
        <w:t xml:space="preserve"> </w:t>
      </w:r>
      <w:r>
        <w:t xml:space="preserve">em todos os quatro.</w:t>
      </w:r>
    </w:p>
    <w:p>
      <w:pPr>
        <w:pStyle w:val="BodyText"/>
      </w:pPr>
      <w:r>
        <w:t xml:space="preserve">Se alguém levantar o</w:t>
      </w:r>
      <w:r>
        <w:t xml:space="preserve"> </w:t>
      </w:r>
      <w:r>
        <w:rPr>
          <w:bCs/>
          <w:b/>
        </w:rPr>
        <w:t xml:space="preserve">viés de atribuição</w:t>
      </w:r>
      <w:r>
        <w:t xml:space="preserve"> </w:t>
      </w:r>
      <w:r>
        <w:t xml:space="preserve">(os instrumentos apresentam os sintomas como relacionados à fumaça, e o respondente sabe o que está sendo investigado), responda que o manuscrito reconhece isso nas Limitações e que esse é um problema de</w:t>
      </w:r>
      <w:r>
        <w:t xml:space="preserve"> </w:t>
      </w:r>
      <w:r>
        <w:rPr>
          <w:bCs/>
          <w:b/>
        </w:rPr>
        <w:t xml:space="preserve">mensuração</w:t>
      </w:r>
      <w:r>
        <w:t xml:space="preserve"> </w:t>
      </w:r>
      <w:r>
        <w:t xml:space="preserve">(risco de viés), já contabilizado, e não de diretividade, porque a condição da pergunta foi definida justamente como sintoma relacionado à exposição.</w:t>
      </w:r>
    </w:p>
    <w:p>
      <w:pPr>
        <w:pStyle w:val="BodyText"/>
      </w:pPr>
      <w:r>
        <w:rPr>
          <w:bCs/>
          <w:b/>
        </w:rPr>
        <w:t xml:space="preserve">2. Como evitaram dupla contagem entre inconsistência e imprecisão.</w:t>
      </w:r>
      <w:r>
        <w:t xml:space="preserve"> </w:t>
      </w:r>
      <w:r>
        <w:rPr>
          <w:bCs/>
          <w:b/>
        </w:rPr>
        <w:t xml:space="preserve">[conhecimento geral]</w:t>
      </w:r>
      <w:r>
        <w:t xml:space="preserve"> </w:t>
      </w:r>
      <w:r>
        <w:t xml:space="preserve">Sob heterogeneidade alta, tanto o intervalo de predição quanto o intervalo de confiança (sobretudo com ajuste de Hartung-Knapp) se alargam por causa do mesmo tau². Se você rebaixa por inconsistência olhando o I² e o IP, e depois rebaixa por imprecisão olhando um IC que também está largo por causa do tau², penaliza a mesma coisa duas vezes.</w:t>
      </w:r>
      <w:r>
        <w:t xml:space="preserve"> </w:t>
      </w:r>
      <w:r>
        <w:rPr>
          <w:bCs/>
          <w:b/>
        </w:rPr>
        <w:t xml:space="preserve">Regra adotada no manuscrito:</w:t>
      </w:r>
      <w:r>
        <w:t xml:space="preserve"> </w:t>
      </w:r>
      <w:r>
        <w:t xml:space="preserve">a</w:t>
      </w:r>
      <w:r>
        <w:t xml:space="preserve"> </w:t>
      </w:r>
      <w:r>
        <w:rPr>
          <w:bCs/>
          <w:b/>
        </w:rPr>
        <w:t xml:space="preserve">imprecisão</w:t>
      </w:r>
      <w:r>
        <w:t xml:space="preserve"> </w:t>
      </w:r>
      <w:r>
        <w:t xml:space="preserve">foi julgada pela amplitude do</w:t>
      </w:r>
      <w:r>
        <w:t xml:space="preserve"> </w:t>
      </w:r>
      <w:r>
        <w:rPr>
          <w:bCs/>
          <w:b/>
        </w:rPr>
        <w:t xml:space="preserve">IC95%</w:t>
      </w:r>
      <w:r>
        <w:t xml:space="preserve"> </w:t>
      </w:r>
      <w:r>
        <w:t xml:space="preserve">(ou pela ausência de IC no estudo original), sem limiar decisório pré-especificado; a amplitude do</w:t>
      </w:r>
      <w:r>
        <w:t xml:space="preserve"> </w:t>
      </w:r>
      <w:r>
        <w:rPr>
          <w:bCs/>
          <w:b/>
        </w:rPr>
        <w:t xml:space="preserve">intervalo de predição</w:t>
      </w:r>
      <w:r>
        <w:t xml:space="preserve">, por refletir a heterogeneidade entre estudos, foi considerada no domínio de</w:t>
      </w:r>
      <w:r>
        <w:t xml:space="preserve"> </w:t>
      </w:r>
      <w:r>
        <w:rPr>
          <w:bCs/>
          <w:b/>
        </w:rPr>
        <w:t xml:space="preserve">inconsistência</w:t>
      </w:r>
      <w:r>
        <w:t xml:space="preserve">. Assim, 7–83% e 15–74% contam para inconsistência; 21,9–56,5 e 30,4–53,9 contam para imprecisão. Se perguntarem se ainda assim há sobreposição residual, admita que pode haver, diga que a alocação foi explícita e que, no pior caso, o julgamento é conservador e não muda o nível final, que já está no piso.</w:t>
      </w:r>
    </w:p>
    <w:p>
      <w:pPr>
        <w:pStyle w:val="BodyText"/>
      </w:pPr>
      <w:r>
        <w:rPr>
          <w:bCs/>
          <w:b/>
        </w:rPr>
        <w:t xml:space="preserve">3. Por que viés de publicação não foi rebaixado.</w:t>
      </w:r>
      <w:r>
        <w:t xml:space="preserve"> </w:t>
      </w:r>
      <w:r>
        <w:t xml:space="preserve">Não se aplicaram testes de assimetria (Egger) por dois motivos declarados: em metanálise de proporção o erro-padrão é função da própria proporção e gera assimetria espúria; e são exigidos ao menos dez estudos por desfecho (há 6 e 7). A impossibilidade de testar</w:t>
      </w:r>
      <w:r>
        <w:t xml:space="preserve"> </w:t>
      </w:r>
      <w:r>
        <w:rPr>
          <w:bCs/>
          <w:b/>
        </w:rPr>
        <w:t xml:space="preserve">não foi, isoladamente, motivo para rebaixar</w:t>
      </w:r>
      <w:r>
        <w:t xml:space="preserve">. A apreciação foi qualitativa, pesando a favor (busca ampla: sete bases, literatura cinzenta, busca por citação, sem filtro de idioma) e contra (poucos estudos, predomínio de amostras pequenas, seis relatórios não recuperados). Conclusão escrita no Anexo F: viés</w:t>
      </w:r>
      <w:r>
        <w:t xml:space="preserve"> </w:t>
      </w:r>
      <w:r>
        <w:rPr>
          <w:bCs/>
          <w:b/>
        </w:rPr>
        <w:t xml:space="preserve">não excluível, mas sem base formal para rebaixamento</w:t>
      </w:r>
      <w:r>
        <w:t xml:space="preserve">. Nos desfechos de estudo único, registrou-se</w:t>
      </w:r>
      <w:r>
        <w:t xml:space="preserve"> </w:t>
      </w:r>
      <w:r>
        <w:t xml:space="preserve">“</w:t>
      </w:r>
      <w:r>
        <w:t xml:space="preserve">não avaliável</w:t>
      </w:r>
      <w:r>
        <w:t xml:space="preserve">”</w:t>
      </w:r>
      <w:r>
        <w:t xml:space="preserve">, sem rebaixamento,</w:t>
      </w:r>
      <w:r>
        <w:t xml:space="preserve"> </w:t>
      </w:r>
      <w:r>
        <w:rPr>
          <w:bCs/>
          <w:b/>
        </w:rPr>
        <w:t xml:space="preserve">o que não equivale a afirmar ausência de viés</w:t>
      </w:r>
      <w:r>
        <w:t xml:space="preserve">. A Figura G3 (dispersão por tamanho amostral, não por erro-padrão) é a inspeção visual que substituiu o funil.</w:t>
      </w:r>
    </w:p>
    <w:p>
      <w:pPr>
        <w:pStyle w:val="BodyText"/>
      </w:pPr>
      <w:r>
        <w:rPr>
          <w:bCs/>
          <w:b/>
        </w:rPr>
        <w:t xml:space="preserve">4. Por que</w:t>
      </w:r>
      <w:r>
        <w:rPr>
          <w:bCs/>
          <w:b/>
        </w:rPr>
        <w:t xml:space="preserve"> </w:t>
      </w:r>
      <w:r>
        <w:rPr>
          <w:bCs/>
          <w:b/>
        </w:rPr>
        <w:t xml:space="preserve">“</w:t>
      </w:r>
      <w:r>
        <w:rPr>
          <w:bCs/>
          <w:b/>
        </w:rPr>
        <w:t xml:space="preserve">muito baixa</w:t>
      </w:r>
      <w:r>
        <w:rPr>
          <w:bCs/>
          <w:b/>
        </w:rPr>
        <w:t xml:space="preserve">”</w:t>
      </w:r>
      <w:r>
        <w:rPr>
          <w:bCs/>
          <w:b/>
        </w:rPr>
        <w:t xml:space="preserve"> </w:t>
      </w:r>
      <w:r>
        <w:rPr>
          <w:bCs/>
          <w:b/>
        </w:rPr>
        <w:t xml:space="preserve">não significa que o resultado é inútil.</w:t>
      </w:r>
      <w:r>
        <w:t xml:space="preserve"> </w:t>
      </w:r>
      <w:r>
        <w:rPr>
          <w:bCs/>
          <w:b/>
        </w:rPr>
        <w:t xml:space="preserve">[conhecimento geral]</w:t>
      </w:r>
      <w:r>
        <w:t xml:space="preserve"> </w:t>
      </w:r>
      <w:r>
        <w:t xml:space="preserve">Certeza muito baixa quer dizer que a estimativa pode diferir substancialmente do valor verdadeiro; é uma afirmação sobre a</w:t>
      </w:r>
      <w:r>
        <w:t xml:space="preserve"> </w:t>
      </w:r>
      <w:r>
        <w:rPr>
          <w:bCs/>
          <w:b/>
        </w:rPr>
        <w:t xml:space="preserve">confiança</w:t>
      </w:r>
      <w:r>
        <w:t xml:space="preserve"> </w:t>
      </w:r>
      <w:r>
        <w:t xml:space="preserve">na estimativa, não sobre a ausência do fenômeno. O intervalo de predição (7–83%) já comunica a mesma ideia. A mensagem da revisão (sintomas frequentes, com ampla variação; sinais em desfechos intermediários; vazio de evidência para câncer e DPOC) se sustenta justamente porque a certeza foi graduada com honestidade, e a recomendação de proteção se apoia na carga sintomática e no princípio da precaução, não em certeza alta.</w:t>
      </w:r>
    </w:p>
    <w:bookmarkEnd w:id="98"/>
    <w:bookmarkStart w:id="99" w:name="X5f439c724a4060c2bb03fdbd3ce123f7a464fc7"/>
    <w:p>
      <w:pPr>
        <w:pStyle w:val="Heading4"/>
      </w:pPr>
      <w:r>
        <w:t xml:space="preserve">Tabela 2 reproduzida de forma simplificada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Desfecho</w:t>
            </w:r>
          </w:p>
        </w:tc>
        <w:tc>
          <w:tcPr/>
          <w:p>
            <w:pPr>
              <w:pStyle w:val="Compact"/>
              <w:jc w:val="left"/>
            </w:pPr>
            <w:r>
              <w:t xml:space="preserve">Estudos (n)</w:t>
            </w:r>
          </w:p>
        </w:tc>
        <w:tc>
          <w:tcPr/>
          <w:p>
            <w:pPr>
              <w:pStyle w:val="Compact"/>
              <w:jc w:val="left"/>
            </w:pPr>
            <w:r>
              <w:t xml:space="preserve">Estimativa (IC95%)</w:t>
            </w:r>
          </w:p>
        </w:tc>
        <w:tc>
          <w:tcPr/>
          <w:p>
            <w:pPr>
              <w:pStyle w:val="Compact"/>
              <w:jc w:val="left"/>
            </w:pPr>
            <w:r>
              <w:t xml:space="preserve">Intervalo de predição</w:t>
            </w:r>
          </w:p>
        </w:tc>
        <w:tc>
          <w:tcPr/>
          <w:p>
            <w:pPr>
              <w:pStyle w:val="Compact"/>
              <w:jc w:val="left"/>
            </w:pPr>
            <w:r>
              <w:t xml:space="preserve">Certeza</w:t>
            </w:r>
          </w:p>
        </w:tc>
      </w:tr>
      <w:tr>
        <w:tc>
          <w:tcPr/>
          <w:p>
            <w:pPr>
              <w:pStyle w:val="Compact"/>
              <w:jc w:val="left"/>
            </w:pPr>
            <w:r>
              <w:t xml:space="preserve">Sintoma ocular</w:t>
            </w:r>
          </w:p>
        </w:tc>
        <w:tc>
          <w:tcPr/>
          <w:p>
            <w:pPr>
              <w:pStyle w:val="Compact"/>
              <w:jc w:val="left"/>
            </w:pPr>
            <w:r>
              <w:t xml:space="preserve">6 (756)</w:t>
            </w:r>
          </w:p>
        </w:tc>
        <w:tc>
          <w:tcPr/>
          <w:p>
            <w:pPr>
              <w:pStyle w:val="Compact"/>
              <w:jc w:val="left"/>
            </w:pPr>
            <w:r>
              <w:t xml:space="preserve">37,6% (21,9–56,5)</w:t>
            </w:r>
          </w:p>
        </w:tc>
        <w:tc>
          <w:tcPr/>
          <w:p>
            <w:pPr>
              <w:pStyle w:val="Compact"/>
              <w:jc w:val="left"/>
            </w:pPr>
            <w:r>
              <w:t xml:space="preserve">7–83%</w:t>
            </w:r>
          </w:p>
        </w:tc>
        <w:tc>
          <w:tcPr/>
          <w:p>
            <w:pPr>
              <w:pStyle w:val="Compact"/>
              <w:jc w:val="left"/>
            </w:pPr>
            <w:r>
              <w:t xml:space="preserve">●○○○ Muito baixa</w:t>
            </w:r>
          </w:p>
        </w:tc>
      </w:tr>
      <w:tr>
        <w:tc>
          <w:tcPr/>
          <w:p>
            <w:pPr>
              <w:pStyle w:val="Compact"/>
              <w:jc w:val="left"/>
            </w:pPr>
            <w:r>
              <w:t xml:space="preserve">Sintoma respiratório (exploratório)</w:t>
            </w:r>
          </w:p>
        </w:tc>
        <w:tc>
          <w:tcPr/>
          <w:p>
            <w:pPr>
              <w:pStyle w:val="Compact"/>
              <w:jc w:val="left"/>
            </w:pPr>
            <w:r>
              <w:t xml:space="preserve">7 (1.428)</w:t>
            </w:r>
          </w:p>
        </w:tc>
        <w:tc>
          <w:tcPr/>
          <w:p>
            <w:pPr>
              <w:pStyle w:val="Compact"/>
              <w:jc w:val="left"/>
            </w:pPr>
            <w:r>
              <w:t xml:space="preserve">41,7% (30,4–53,9)</w:t>
            </w:r>
          </w:p>
        </w:tc>
        <w:tc>
          <w:tcPr/>
          <w:p>
            <w:pPr>
              <w:pStyle w:val="Compact"/>
              <w:jc w:val="left"/>
            </w:pPr>
            <w:r>
              <w:t xml:space="preserve">15–74%</w:t>
            </w:r>
          </w:p>
        </w:tc>
        <w:tc>
          <w:tcPr/>
          <w:p>
            <w:pPr>
              <w:pStyle w:val="Compact"/>
              <w:jc w:val="left"/>
            </w:pPr>
            <w:r>
              <w:t xml:space="preserve">●○○○ Muito baixa</w:t>
            </w:r>
          </w:p>
        </w:tc>
      </w:tr>
      <w:tr>
        <w:tc>
          <w:tcPr/>
          <w:p>
            <w:pPr>
              <w:pStyle w:val="Compact"/>
              <w:jc w:val="left"/>
            </w:pPr>
            <w:r>
              <w:t xml:space="preserve">Qualquer sintoma</w:t>
            </w:r>
          </w:p>
        </w:tc>
        <w:tc>
          <w:tcPr/>
          <w:p>
            <w:pPr>
              <w:pStyle w:val="Compact"/>
              <w:jc w:val="left"/>
            </w:pPr>
            <w:r>
              <w:t xml:space="preserve">2 (868)</w:t>
            </w:r>
          </w:p>
        </w:tc>
        <w:tc>
          <w:tcPr/>
          <w:p>
            <w:pPr>
              <w:pStyle w:val="Compact"/>
              <w:jc w:val="left"/>
            </w:pPr>
            <w:r>
              <w:t xml:space="preserve">55,6–73,2%</w:t>
            </w:r>
          </w:p>
        </w:tc>
        <w:tc>
          <w:tcPr/>
          <w:p>
            <w:pPr>
              <w:pStyle w:val="Compact"/>
              <w:jc w:val="left"/>
            </w:pPr>
            <w:r>
              <w:t xml:space="preserve">—</w:t>
            </w:r>
          </w:p>
        </w:tc>
        <w:tc>
          <w:tcPr/>
          <w:p>
            <w:pPr>
              <w:pStyle w:val="Compact"/>
              <w:jc w:val="left"/>
            </w:pPr>
            <w:r>
              <w:t xml:space="preserve">●○○○ Muito baixa</w:t>
            </w:r>
          </w:p>
        </w:tc>
      </w:tr>
      <w:tr>
        <w:tc>
          <w:tcPr/>
          <w:p>
            <w:pPr>
              <w:pStyle w:val="Compact"/>
              <w:jc w:val="left"/>
            </w:pPr>
            <w:r>
              <w:t xml:space="preserve">Função pulmonar (espirometria)</w:t>
            </w:r>
          </w:p>
        </w:tc>
        <w:tc>
          <w:tcPr/>
          <w:p>
            <w:pPr>
              <w:pStyle w:val="Compact"/>
              <w:jc w:val="left"/>
            </w:pPr>
            <w:r>
              <w:t xml:space="preserve">1 (92 vs 92)</w:t>
            </w:r>
          </w:p>
        </w:tc>
        <w:tc>
          <w:tcPr/>
          <w:p>
            <w:pPr>
              <w:pStyle w:val="Compact"/>
              <w:jc w:val="left"/>
            </w:pPr>
            <w:r>
              <w:t xml:space="preserve">VEF1, CVF e PFE menores (p = 0,001); VEF1/CVF com diferença pequena, de relevância incerta; associação com tempo de exposição (ajustada por idade e IMC)</w:t>
            </w:r>
          </w:p>
        </w:tc>
        <w:tc>
          <w:tcPr/>
          <w:p>
            <w:pPr>
              <w:pStyle w:val="Compact"/>
              <w:jc w:val="left"/>
            </w:pPr>
            <w:r>
              <w:t xml:space="preserve">—</w:t>
            </w:r>
          </w:p>
        </w:tc>
        <w:tc>
          <w:tcPr/>
          <w:p>
            <w:pPr>
              <w:pStyle w:val="Compact"/>
              <w:jc w:val="left"/>
            </w:pPr>
            <w:r>
              <w:t xml:space="preserve">●○○○ Muito baixa</w:t>
            </w:r>
          </w:p>
        </w:tc>
      </w:tr>
      <w:tr>
        <w:tc>
          <w:tcPr/>
          <w:p>
            <w:pPr>
              <w:pStyle w:val="Compact"/>
              <w:jc w:val="left"/>
            </w:pPr>
            <w:r>
              <w:t xml:space="preserve">Biomarcadores urinários</w:t>
            </w:r>
          </w:p>
        </w:tc>
        <w:tc>
          <w:tcPr/>
          <w:p>
            <w:pPr>
              <w:pStyle w:val="Compact"/>
              <w:jc w:val="left"/>
            </w:pPr>
            <w:r>
              <w:t xml:space="preserve">1 (52 vs 49; 52 vs 52)</w:t>
            </w:r>
          </w:p>
        </w:tc>
        <w:tc>
          <w:tcPr/>
          <w:p>
            <w:pPr>
              <w:pStyle w:val="Compact"/>
              <w:jc w:val="left"/>
            </w:pPr>
            <w:r>
              <w:t xml:space="preserve">ácido t,t-mucônico, metil-hipúrico e malondialdeído maiores nos expostos (p &lt; 0,001)</w:t>
            </w:r>
          </w:p>
        </w:tc>
        <w:tc>
          <w:tcPr/>
          <w:p>
            <w:pPr>
              <w:pStyle w:val="Compact"/>
              <w:jc w:val="left"/>
            </w:pPr>
            <w:r>
              <w:t xml:space="preserve">—</w:t>
            </w:r>
          </w:p>
        </w:tc>
        <w:tc>
          <w:tcPr/>
          <w:p>
            <w:pPr>
              <w:pStyle w:val="Compact"/>
              <w:jc w:val="left"/>
            </w:pPr>
            <w:r>
              <w:t xml:space="preserve">●○○○ Muito baixa</w:t>
            </w:r>
          </w:p>
        </w:tc>
      </w:tr>
      <w:tr>
        <w:tc>
          <w:tcPr/>
          <w:p>
            <w:pPr>
              <w:pStyle w:val="Compact"/>
              <w:jc w:val="left"/>
            </w:pPr>
            <w:r>
              <w:t xml:space="preserve">Metaplasia de mucosa nasal</w:t>
            </w:r>
          </w:p>
        </w:tc>
        <w:tc>
          <w:tcPr/>
          <w:p>
            <w:pPr>
              <w:pStyle w:val="Compact"/>
              <w:jc w:val="left"/>
            </w:pPr>
            <w:r>
              <w:t xml:space="preserve">1 (23 vs 20)</w:t>
            </w:r>
          </w:p>
        </w:tc>
        <w:tc>
          <w:tcPr/>
          <w:p>
            <w:pPr>
              <w:pStyle w:val="Compact"/>
              <w:jc w:val="left"/>
            </w:pPr>
            <w:r>
              <w:t xml:space="preserve">70% vs 5%; RR 13,9 (2,0–95,8)</w:t>
            </w:r>
          </w:p>
        </w:tc>
        <w:tc>
          <w:tcPr/>
          <w:p>
            <w:pPr>
              <w:pStyle w:val="Compact"/>
              <w:jc w:val="left"/>
            </w:pPr>
            <w:r>
              <w:t xml:space="preserve">—</w:t>
            </w:r>
          </w:p>
        </w:tc>
        <w:tc>
          <w:tcPr/>
          <w:p>
            <w:pPr>
              <w:pStyle w:val="Compact"/>
              <w:jc w:val="left"/>
            </w:pPr>
            <w:r>
              <w:t xml:space="preserve">●○○○ Muito baixa</w:t>
            </w:r>
          </w:p>
        </w:tc>
      </w:tr>
      <w:tr>
        <w:tc>
          <w:tcPr/>
          <w:p>
            <w:pPr>
              <w:pStyle w:val="Compact"/>
              <w:jc w:val="left"/>
            </w:pPr>
            <w:r>
              <w:t xml:space="preserve">HPV nasal</w:t>
            </w:r>
          </w:p>
        </w:tc>
        <w:tc>
          <w:tcPr/>
          <w:p>
            <w:pPr>
              <w:pStyle w:val="Compact"/>
              <w:jc w:val="left"/>
            </w:pPr>
            <w:r>
              <w:t xml:space="preserve">1 (700)</w:t>
            </w:r>
          </w:p>
        </w:tc>
        <w:tc>
          <w:tcPr/>
          <w:p>
            <w:pPr>
              <w:pStyle w:val="Compact"/>
              <w:jc w:val="left"/>
            </w:pPr>
            <w:r>
              <w:t xml:space="preserve">8,96% vs 1,73%; RR 5,2 (1,9–14,2)</w:t>
            </w:r>
          </w:p>
        </w:tc>
        <w:tc>
          <w:tcPr/>
          <w:p>
            <w:pPr>
              <w:pStyle w:val="Compact"/>
              <w:jc w:val="left"/>
            </w:pPr>
            <w:r>
              <w:t xml:space="preserve">—</w:t>
            </w:r>
          </w:p>
        </w:tc>
        <w:tc>
          <w:tcPr/>
          <w:p>
            <w:pPr>
              <w:pStyle w:val="Compact"/>
              <w:jc w:val="left"/>
            </w:pPr>
            <w:r>
              <w:t xml:space="preserve">●○○○ Muito baixa</w:t>
            </w:r>
          </w:p>
        </w:tc>
      </w:tr>
      <w:tr>
        <w:tc>
          <w:tcPr/>
          <w:p>
            <w:pPr>
              <w:pStyle w:val="Compact"/>
              <w:jc w:val="left"/>
            </w:pPr>
            <w:r>
              <w:t xml:space="preserve">Câncer ou DPOC diagnosticados</w:t>
            </w:r>
          </w:p>
        </w:tc>
        <w:tc>
          <w:tcPr/>
          <w:p>
            <w:pPr>
              <w:pStyle w:val="Compact"/>
              <w:jc w:val="left"/>
            </w:pPr>
            <w:r>
              <w:t xml:space="preserve">0</w:t>
            </w:r>
          </w:p>
        </w:tc>
        <w:tc>
          <w:tcPr/>
          <w:p>
            <w:pPr>
              <w:pStyle w:val="Compact"/>
              <w:jc w:val="left"/>
            </w:pPr>
            <w:r>
              <w:t xml:space="preserve">não estimável</w:t>
            </w:r>
          </w:p>
        </w:tc>
        <w:tc>
          <w:tcPr/>
          <w:p>
            <w:pPr>
              <w:pStyle w:val="Compact"/>
              <w:jc w:val="left"/>
            </w:pPr>
            <w:r>
              <w:t xml:space="preserve">—</w:t>
            </w:r>
          </w:p>
        </w:tc>
        <w:tc>
          <w:tcPr/>
          <w:p>
            <w:pPr>
              <w:pStyle w:val="Compact"/>
              <w:jc w:val="left"/>
            </w:pPr>
            <w:r>
              <w:t xml:space="preserve">Sem evidência</w:t>
            </w:r>
          </w:p>
        </w:tc>
      </w:tr>
    </w:tbl>
    <w:p>
      <w:pPr>
        <w:pStyle w:val="BodyText"/>
      </w:pPr>
      <w:r>
        <w:t xml:space="preserve">Detalhes que a banca pode cutucar nessa tabela:</w:t>
      </w:r>
    </w:p>
    <w:p>
      <w:pPr>
        <w:numPr>
          <w:ilvl w:val="0"/>
          <w:numId w:val="1039"/>
        </w:numPr>
        <w:pStyle w:val="Compact"/>
      </w:pPr>
      <w:r>
        <w:rPr>
          <w:bCs/>
          <w:b/>
        </w:rPr>
        <w:t xml:space="preserve">“</w:t>
      </w:r>
      <w:r>
        <w:rPr>
          <w:bCs/>
          <w:b/>
        </w:rPr>
        <w:t xml:space="preserve">Qualquer sintoma</w:t>
      </w:r>
      <w:r>
        <w:rPr>
          <w:bCs/>
          <w:b/>
        </w:rPr>
        <w:t xml:space="preserve">”</w:t>
      </w:r>
      <w:r>
        <w:rPr>
          <w:bCs/>
          <w:b/>
        </w:rPr>
        <w:t xml:space="preserve"> </w:t>
      </w:r>
      <w:r>
        <w:rPr>
          <w:bCs/>
          <w:b/>
        </w:rPr>
        <w:t xml:space="preserve">é narrativo</w:t>
      </w:r>
      <w:r>
        <w:t xml:space="preserve"> </w:t>
      </w:r>
      <w:r>
        <w:t xml:space="preserve">(dois estudos: Mohd Fikri Rosely 2022 e Van Giersbergen 2019; 196 + 672 = 868), não metanálise, por inconsistência de reporte.</w:t>
      </w:r>
    </w:p>
    <w:p>
      <w:pPr>
        <w:numPr>
          <w:ilvl w:val="0"/>
          <w:numId w:val="1039"/>
        </w:numPr>
        <w:pStyle w:val="Compact"/>
      </w:pPr>
      <w:r>
        <w:rPr>
          <w:bCs/>
          <w:b/>
        </w:rPr>
        <w:t xml:space="preserve">A HR de Stanganelli Caus et al. (2025)</w:t>
      </w:r>
      <w:r>
        <w:t xml:space="preserve"> </w:t>
      </w:r>
      <w:r>
        <w:t xml:space="preserve">(1,5; IC95% 0,99–2,42; p = 0,05)</w:t>
      </w:r>
      <w:r>
        <w:t xml:space="preserve"> </w:t>
      </w:r>
      <w:r>
        <w:rPr>
          <w:bCs/>
          <w:b/>
        </w:rPr>
        <w:t xml:space="preserve">não tem linha própria</w:t>
      </w:r>
      <w:r>
        <w:t xml:space="preserve">: refere-se a sinais e sintomas autorrelatados, já contemplados nas linhas de prevalência, e vem do cluster com sobreposição. Graduada isoladamente, seria igualmente muito baixa (preocupação moderada, exposição por proxy, IC incluindo o nulo).</w:t>
      </w:r>
    </w:p>
    <w:p>
      <w:pPr>
        <w:numPr>
          <w:ilvl w:val="0"/>
          <w:numId w:val="1039"/>
        </w:numPr>
        <w:pStyle w:val="Compact"/>
      </w:pPr>
      <w:r>
        <w:rPr>
          <w:bCs/>
          <w:b/>
        </w:rPr>
        <w:t xml:space="preserve">Câncer e DPOC</w:t>
      </w:r>
      <w:r>
        <w:t xml:space="preserve"> </w:t>
      </w:r>
      <w:r>
        <w:t xml:space="preserve">recebem</w:t>
      </w:r>
      <w:r>
        <w:t xml:space="preserve"> </w:t>
      </w:r>
      <w:r>
        <w:t xml:space="preserve">“</w:t>
      </w:r>
      <w:r>
        <w:t xml:space="preserve">sem evidência</w:t>
      </w:r>
      <w:r>
        <w:t xml:space="preserve">”</w:t>
      </w:r>
      <w:r>
        <w:t xml:space="preserve">, não</w:t>
      </w:r>
      <w:r>
        <w:t xml:space="preserve"> </w:t>
      </w:r>
      <w:r>
        <w:t xml:space="preserve">“</w:t>
      </w:r>
      <w:r>
        <w:t xml:space="preserve">muito baixa</w:t>
      </w:r>
      <w:r>
        <w:t xml:space="preserve">”</w:t>
      </w:r>
      <w:r>
        <w:t xml:space="preserve">: não houve estudo elegível que avaliasse diretamente a associação. Ausência de evidência não é evidência de ausência; é o que o manuscrito chama de vazio de evidência e converte em agenda de pesquisa.</w:t>
      </w:r>
    </w:p>
    <w:p>
      <w:pPr>
        <w:pStyle w:val="BlockText"/>
      </w:pPr>
      <w:r>
        <w:rPr>
          <w:bCs/>
          <w:b/>
        </w:rPr>
        <w:t xml:space="preserve">O que dizer se perguntarem (GRADE)</w:t>
      </w:r>
    </w:p>
    <w:p>
      <w:pPr>
        <w:numPr>
          <w:ilvl w:val="0"/>
          <w:numId w:val="1040"/>
        </w:numPr>
        <w:pStyle w:val="Compact"/>
      </w:pPr>
      <w:r>
        <w:rPr>
          <w:bCs/>
          <w:b/>
        </w:rPr>
        <w:t xml:space="preserve">“</w:t>
      </w:r>
      <w:r>
        <w:rPr>
          <w:bCs/>
          <w:b/>
        </w:rPr>
        <w:t xml:space="preserve">GRADE serve para prevalência?</w:t>
      </w:r>
      <w:r>
        <w:rPr>
          <w:bCs/>
          <w:b/>
        </w:rPr>
        <w:t xml:space="preserve">”</w:t>
      </w:r>
      <w:r>
        <w:t xml:space="preserve"> </w:t>
      </w:r>
      <w:r>
        <w:t xml:space="preserve">Não há adaptação oficial, e eu digo isso no manuscrito. Usei a abordagem modificada de Barker et al. (2021) e Munn et al. (2015), explicitando o critério de cada domínio no Anexo F para que qualquer leitor possa discordar de um julgamento específico.</w:t>
      </w:r>
    </w:p>
    <w:p>
      <w:pPr>
        <w:numPr>
          <w:ilvl w:val="0"/>
          <w:numId w:val="1040"/>
        </w:numPr>
        <w:pStyle w:val="Compact"/>
      </w:pPr>
      <w:r>
        <w:rPr>
          <w:bCs/>
          <w:b/>
        </w:rPr>
        <w:t xml:space="preserve">“</w:t>
      </w:r>
      <w:r>
        <w:rPr>
          <w:bCs/>
          <w:b/>
        </w:rPr>
        <w:t xml:space="preserve">Por que começou em baixa se é pergunta descritiva?</w:t>
      </w:r>
      <w:r>
        <w:rPr>
          <w:bCs/>
          <w:b/>
        </w:rPr>
        <w:t xml:space="preserve">”</w:t>
      </w:r>
      <w:r>
        <w:t xml:space="preserve"> </w:t>
      </w:r>
      <w:r>
        <w:t xml:space="preserve">Decisão metodológica declarada; há autores que defendem começar em alta porque não há inferência causal a proteger. Testei mentalmente a alternativa: com inconsistência muito grave, risco de viés grave e imprecisão grave, partir de alta também termina em muito baixa.</w:t>
      </w:r>
    </w:p>
    <w:p>
      <w:pPr>
        <w:numPr>
          <w:ilvl w:val="0"/>
          <w:numId w:val="1040"/>
        </w:numPr>
        <w:pStyle w:val="Compact"/>
      </w:pPr>
      <w:r>
        <w:rPr>
          <w:bCs/>
          <w:b/>
        </w:rPr>
        <w:t xml:space="preserve">“</w:t>
      </w:r>
      <w:r>
        <w:rPr>
          <w:bCs/>
          <w:b/>
        </w:rPr>
        <w:t xml:space="preserve">Por que não rebaixou por evidência indireta na prevalência?</w:t>
      </w:r>
      <w:r>
        <w:rPr>
          <w:bCs/>
          <w:b/>
        </w:rPr>
        <w:t xml:space="preserve">”</w:t>
      </w:r>
      <w:r>
        <w:t xml:space="preserve"> </w:t>
      </w:r>
      <w:r>
        <w:t xml:space="preserve">Porque o sintoma autorrelatado é o próprio desfecho da pergunta de frequência, não um substituto. Autorrelato e exposição por ocupação entraram no risco de viés. Nos biomarcadores rebaixei, porque ali o que se mede é substituto e a exposição é mista.</w:t>
      </w:r>
    </w:p>
    <w:p>
      <w:pPr>
        <w:numPr>
          <w:ilvl w:val="0"/>
          <w:numId w:val="1040"/>
        </w:numPr>
        <w:pStyle w:val="Compact"/>
      </w:pPr>
      <w:r>
        <w:rPr>
          <w:bCs/>
          <w:b/>
        </w:rPr>
        <w:t xml:space="preserve">“</w:t>
      </w:r>
      <w:r>
        <w:rPr>
          <w:bCs/>
          <w:b/>
        </w:rPr>
        <w:t xml:space="preserve">Você não contou a heterogeneidade duas vezes?</w:t>
      </w:r>
      <w:r>
        <w:rPr>
          <w:bCs/>
          <w:b/>
        </w:rPr>
        <w:t xml:space="preserve">”</w:t>
      </w:r>
      <w:r>
        <w:t xml:space="preserve"> </w:t>
      </w:r>
      <w:r>
        <w:t xml:space="preserve">Aloquei explicitamente: intervalo de predição → inconsistência; IC95% → imprecisão. Admito sobreposição residual possível; se houver, o julgamento é conservador e não muda o nível, que já está no piso.</w:t>
      </w:r>
    </w:p>
    <w:p>
      <w:pPr>
        <w:numPr>
          <w:ilvl w:val="0"/>
          <w:numId w:val="1040"/>
        </w:numPr>
        <w:pStyle w:val="Compact"/>
      </w:pPr>
      <w:r>
        <w:rPr>
          <w:bCs/>
          <w:b/>
        </w:rPr>
        <w:t xml:space="preserve">“</w:t>
      </w:r>
      <w:r>
        <w:rPr>
          <w:bCs/>
          <w:b/>
        </w:rPr>
        <w:t xml:space="preserve">Seis relatórios não recuperados e não rebaixou por viés de publicação?</w:t>
      </w:r>
      <w:r>
        <w:rPr>
          <w:bCs/>
          <w:b/>
        </w:rPr>
        <w:t xml:space="preserve">”</w:t>
      </w:r>
      <w:r>
        <w:t xml:space="preserve"> </w:t>
      </w:r>
      <w:r>
        <w:t xml:space="preserve">Pesei isso contra a amplitude da busca (sete bases, cinzenta, citação, sem filtro de idioma). Registrei</w:t>
      </w:r>
      <w:r>
        <w:t xml:space="preserve"> </w:t>
      </w:r>
      <w:r>
        <w:t xml:space="preserve">“</w:t>
      </w:r>
      <w:r>
        <w:t xml:space="preserve">não excluível, sem base formal para rebaixamento</w:t>
      </w:r>
      <w:r>
        <w:t xml:space="preserve">”</w:t>
      </w:r>
      <w:r>
        <w:t xml:space="preserve"> </w:t>
      </w:r>
      <w:r>
        <w:t xml:space="preserve">e não fiz teste de Egger porque é inadequado para proporções e exige dez estudos.</w:t>
      </w:r>
    </w:p>
    <w:p>
      <w:pPr>
        <w:numPr>
          <w:ilvl w:val="0"/>
          <w:numId w:val="1040"/>
        </w:numPr>
        <w:pStyle w:val="Compact"/>
      </w:pPr>
      <w:r>
        <w:rPr>
          <w:bCs/>
          <w:b/>
        </w:rPr>
        <w:t xml:space="preserve">“</w:t>
      </w:r>
      <w:r>
        <w:rPr>
          <w:bCs/>
          <w:b/>
        </w:rPr>
        <w:t xml:space="preserve">Tudo muito baixa; então a revisão não diz nada?</w:t>
      </w:r>
      <w:r>
        <w:rPr>
          <w:bCs/>
          <w:b/>
        </w:rPr>
        <w:t xml:space="preserve">”</w:t>
      </w:r>
      <w:r>
        <w:t xml:space="preserve"> </w:t>
      </w:r>
      <w:r>
        <w:t xml:space="preserve">Diz. Muito baixa mede a confiança na estimativa, não a existência do fenômeno. A amplitude do intervalo de predição comunica a mesma incerteza. A conclusão (sintomas frequentes, variação ampla, vazio de evidência para doença crônica, proteção justificada por precaução) foi escrita para ser compatível com essa certeza.</w:t>
      </w:r>
    </w:p>
    <w:p>
      <w:pPr>
        <w:numPr>
          <w:ilvl w:val="0"/>
          <w:numId w:val="1040"/>
        </w:numPr>
        <w:pStyle w:val="Compact"/>
      </w:pPr>
      <w:r>
        <w:rPr>
          <w:bCs/>
          <w:b/>
        </w:rPr>
        <w:t xml:space="preserve">“</w:t>
      </w:r>
      <w:r>
        <w:rPr>
          <w:bCs/>
          <w:b/>
        </w:rPr>
        <w:t xml:space="preserve">Considerou elevar pelo gradiente dose-resposta em Ibrahim e Hu?</w:t>
      </w:r>
      <w:r>
        <w:rPr>
          <w:bCs/>
          <w:b/>
        </w:rPr>
        <w:t xml:space="preserve">”</w:t>
      </w:r>
      <w:r>
        <w:t xml:space="preserve"> </w:t>
      </w:r>
      <w:r>
        <w:t xml:space="preserve">Não apliquei elevação: há rebaixamentos graves em três domínios, e os gradientes vêm de estudos únicos sem ajuste completo. Discuto o gradiente como critério de causalidade na Discussão, não como elevação de certeza.</w:t>
      </w:r>
    </w:p>
    <w:p>
      <w:pPr>
        <w:numPr>
          <w:ilvl w:val="0"/>
          <w:numId w:val="1040"/>
        </w:numPr>
        <w:pStyle w:val="Compact"/>
      </w:pPr>
      <w:r>
        <w:rPr>
          <w:bCs/>
          <w:b/>
        </w:rPr>
        <w:t xml:space="preserve">“</w:t>
      </w:r>
      <w:r>
        <w:rPr>
          <w:bCs/>
          <w:b/>
        </w:rPr>
        <w:t xml:space="preserve">Por que câncer e DPOC não estão como</w:t>
      </w:r>
      <w:r>
        <w:rPr>
          <w:bCs/>
          <w:b/>
        </w:rPr>
        <w:t xml:space="preserve"> </w:t>
      </w:r>
      <w:r>
        <w:rPr>
          <w:bCs/>
          <w:b/>
        </w:rPr>
        <w:t xml:space="preserve">‘</w:t>
      </w:r>
      <w:r>
        <w:rPr>
          <w:bCs/>
          <w:b/>
        </w:rPr>
        <w:t xml:space="preserve">muito baixa</w:t>
      </w:r>
      <w:r>
        <w:rPr>
          <w:bCs/>
          <w:b/>
        </w:rPr>
        <w:t xml:space="preserve">’</w:t>
      </w:r>
      <w:r>
        <w:rPr>
          <w:bCs/>
          <w:b/>
        </w:rPr>
        <w:t xml:space="preserve">?</w:t>
      </w:r>
      <w:r>
        <w:rPr>
          <w:bCs/>
          <w:b/>
        </w:rPr>
        <w:t xml:space="preserve">”</w:t>
      </w:r>
      <w:r>
        <w:t xml:space="preserve"> </w:t>
      </w:r>
      <w:r>
        <w:t xml:space="preserve">Porque não há estudo elegível a graduar. É um vazio de evidência, não evidência de baixa certeza.</w:t>
      </w:r>
    </w:p>
    <w:p>
      <w:r>
        <w:pict>
          <v:rect style="width:0;height:1.5pt" o:hralign="center" o:hrstd="t" o:hr="t"/>
        </w:pict>
      </w:r>
    </w:p>
    <w:bookmarkEnd w:id="99"/>
    <w:bookmarkEnd w:id="100"/>
    <w:bookmarkStart w:id="101" w:name="números-desta-etapa-para-decorar-1"/>
    <w:p>
      <w:pPr>
        <w:pStyle w:val="Heading3"/>
      </w:pPr>
      <w:r>
        <w:t xml:space="preserve">Números desta etapa para decorar</w:t>
      </w:r>
    </w:p>
    <w:p>
      <w:pPr>
        <w:pStyle w:val="FirstParagraph"/>
      </w:pPr>
      <w:r>
        <w:rPr>
          <w:bCs/>
          <w:b/>
        </w:rPr>
        <w:t xml:space="preserve">Extração</w:t>
      </w:r>
      <w:r>
        <w:t xml:space="preserve"> </w:t>
      </w:r>
      <w:r>
        <w:t xml:space="preserve">- Campos da planilha: autor/ano/país, desenho, população, dispositivo gerador, comparador, instrumento e definição do desfecho, taxa de resposta, medidas de resultado; para prevalência,</w:t>
      </w:r>
      <w:r>
        <w:t xml:space="preserve"> </w:t>
      </w:r>
      <w:r>
        <w:rPr>
          <w:bCs/>
          <w:b/>
        </w:rPr>
        <w:t xml:space="preserve">eventos e denominador por grupo</w:t>
      </w:r>
      <w:r>
        <w:t xml:space="preserve">.</w:t>
      </w:r>
      <w:r>
        <w:t xml:space="preserve"> </w:t>
      </w:r>
      <w:r>
        <w:t xml:space="preserve">- Anexo D:</w:t>
      </w:r>
      <w:r>
        <w:t xml:space="preserve"> </w:t>
      </w:r>
      <w:r>
        <w:rPr>
          <w:bCs/>
          <w:b/>
        </w:rPr>
        <w:t xml:space="preserve">15 linhas</w:t>
      </w:r>
      <w:r>
        <w:t xml:space="preserve"> </w:t>
      </w:r>
      <w:r>
        <w:t xml:space="preserve">(6 ocular, 7 respiratório, 2 qualquer sintoma); taxa de resposta</w:t>
      </w:r>
      <w:r>
        <w:t xml:space="preserve"> </w:t>
      </w:r>
      <w:r>
        <w:rPr>
          <w:bCs/>
          <w:b/>
        </w:rPr>
        <w:t xml:space="preserve">não informada em 15/15</w:t>
      </w:r>
      <w:r>
        <w:t xml:space="preserve">.</w:t>
      </w:r>
      <w:r>
        <w:t xml:space="preserve"> </w:t>
      </w:r>
      <w:r>
        <w:t xml:space="preserve">- Ocular:</w:t>
      </w:r>
      <w:r>
        <w:t xml:space="preserve"> </w:t>
      </w:r>
      <w:r>
        <w:rPr>
          <w:bCs/>
          <w:b/>
        </w:rPr>
        <w:t xml:space="preserve">6 amostras, n = 756</w:t>
      </w:r>
      <w:r>
        <w:t xml:space="preserve">, prevalências de</w:t>
      </w:r>
      <w:r>
        <w:t xml:space="preserve"> </w:t>
      </w:r>
      <w:r>
        <w:rPr>
          <w:bCs/>
          <w:b/>
        </w:rPr>
        <w:t xml:space="preserve">19,4% a 56,1%</w:t>
      </w:r>
      <w:r>
        <w:t xml:space="preserve">;</w:t>
      </w:r>
      <w:r>
        <w:t xml:space="preserve"> </w:t>
      </w:r>
      <w:r>
        <w:rPr>
          <w:bCs/>
          <w:b/>
        </w:rPr>
        <w:t xml:space="preserve">[cálculo meu]</w:t>
      </w:r>
      <w:r>
        <w:t xml:space="preserve"> </w:t>
      </w:r>
      <w:r>
        <w:t xml:space="preserve">269 eventos.</w:t>
      </w:r>
      <w:r>
        <w:t xml:space="preserve"> </w:t>
      </w:r>
      <w:r>
        <w:t xml:space="preserve">- Respiratório:</w:t>
      </w:r>
      <w:r>
        <w:t xml:space="preserve"> </w:t>
      </w:r>
      <w:r>
        <w:rPr>
          <w:bCs/>
          <w:b/>
        </w:rPr>
        <w:t xml:space="preserve">7 amostras, n = 1.428</w:t>
      </w:r>
      <w:r>
        <w:t xml:space="preserve">, prevalências de</w:t>
      </w:r>
      <w:r>
        <w:t xml:space="preserve"> </w:t>
      </w:r>
      <w:r>
        <w:rPr>
          <w:bCs/>
          <w:b/>
        </w:rPr>
        <w:t xml:space="preserve">20,7% a 57,3%</w:t>
      </w:r>
      <w:r>
        <w:t xml:space="preserve">;</w:t>
      </w:r>
      <w:r>
        <w:t xml:space="preserve"> </w:t>
      </w:r>
      <w:r>
        <w:rPr>
          <w:bCs/>
          <w:b/>
        </w:rPr>
        <w:t xml:space="preserve">[cálculo meu]</w:t>
      </w:r>
      <w:r>
        <w:t xml:space="preserve"> </w:t>
      </w:r>
      <w:r>
        <w:t xml:space="preserve">690 eventos.</w:t>
      </w:r>
      <w:r>
        <w:t xml:space="preserve"> </w:t>
      </w:r>
      <w:r>
        <w:t xml:space="preserve">- Qualquer sintoma:</w:t>
      </w:r>
      <w:r>
        <w:t xml:space="preserve"> </w:t>
      </w:r>
      <w:r>
        <w:rPr>
          <w:bCs/>
          <w:b/>
        </w:rPr>
        <w:t xml:space="preserve">109/196 = 55,6%</w:t>
      </w:r>
      <w:r>
        <w:t xml:space="preserve"> </w:t>
      </w:r>
      <w:r>
        <w:t xml:space="preserve">e</w:t>
      </w:r>
      <w:r>
        <w:t xml:space="preserve"> </w:t>
      </w:r>
      <w:r>
        <w:rPr>
          <w:bCs/>
          <w:b/>
        </w:rPr>
        <w:t xml:space="preserve">492/672 = 73,2%</w:t>
      </w:r>
      <w:r>
        <w:t xml:space="preserve"> </w:t>
      </w:r>
      <w:r>
        <w:t xml:space="preserve">(n = 868).</w:t>
      </w:r>
      <w:r>
        <w:t xml:space="preserve"> </w:t>
      </w:r>
      <w:r>
        <w:t xml:space="preserve">- Subgrupos oculares: Turquia 3 estudos, n = 268, 50,5%, I² 57%; Malásia 2 estudos, n = 333, 19,8%, I² 0%; Brasil 1 estudo, 43,2%.</w:t>
      </w:r>
      <w:r>
        <w:t xml:space="preserve"> </w:t>
      </w:r>
      <w:r>
        <w:t xml:space="preserve">- Representante do cluster brasileiro:</w:t>
      </w:r>
      <w:r>
        <w:t xml:space="preserve"> </w:t>
      </w:r>
      <w:r>
        <w:rPr>
          <w:bCs/>
          <w:b/>
        </w:rPr>
        <w:t xml:space="preserve">Bieniek et al. (2022)</w:t>
      </w:r>
      <w:r>
        <w:t xml:space="preserve">; Bieniek 2025 (n = 343) usa escala EASE 0–3 e não substitui.</w:t>
      </w:r>
      <w:r>
        <w:t xml:space="preserve"> </w:t>
      </w:r>
      <w:r>
        <w:t xml:space="preserve">- Resumo de congresso incluído: Mohd Fikri Rosely 2022, n = 196; sem ele, ocular</w:t>
      </w:r>
      <w:r>
        <w:t xml:space="preserve"> </w:t>
      </w:r>
      <w:r>
        <w:rPr>
          <w:bCs/>
          <w:b/>
        </w:rPr>
        <w:t xml:space="preserve">42,1%</w:t>
      </w:r>
      <w:r>
        <w:t xml:space="preserve"> </w:t>
      </w:r>
      <w:r>
        <w:t xml:space="preserve">(5 estudos, I² 89%) e respiratório</w:t>
      </w:r>
      <w:r>
        <w:t xml:space="preserve"> </w:t>
      </w:r>
      <w:r>
        <w:rPr>
          <w:bCs/>
          <w:b/>
        </w:rPr>
        <w:t xml:space="preserve">42,4%</w:t>
      </w:r>
      <w:r>
        <w:t xml:space="preserve"> </w:t>
      </w:r>
      <w:r>
        <w:t xml:space="preserve">(6 estudos, I² 90%).</w:t>
      </w:r>
      <w:r>
        <w:t xml:space="preserve"> </w:t>
      </w:r>
      <w:r>
        <w:t xml:space="preserve">- Van Giersbergen 2019 (n = 672): só no respiratório e no</w:t>
      </w:r>
      <w:r>
        <w:t xml:space="preserve"> </w:t>
      </w:r>
      <w:r>
        <w:t xml:space="preserve">“</w:t>
      </w:r>
      <w:r>
        <w:t xml:space="preserve">qualquer sintoma</w:t>
      </w:r>
      <w:r>
        <w:t xml:space="preserve">”</w:t>
      </w:r>
      <w:r>
        <w:t xml:space="preserve">.</w:t>
      </w:r>
      <w:r>
        <w:t xml:space="preserve"> </w:t>
      </w:r>
      <w:r>
        <w:t xml:space="preserve">- Objetivos: Ibrahim 92 vs 92; Canicoba 52 vs 49 e 52 vs 52; Navarro 23 vs 20 (RR 13,9; IC 2,0–95,8; 17 eventos); Hu 469 vs 231 (RR 5,2; IC 1,9–14,2; 46 eventos).</w:t>
      </w:r>
      <w:r>
        <w:t xml:space="preserve"> </w:t>
      </w:r>
      <w:r>
        <w:t xml:space="preserve">- Não recuperados:</w:t>
      </w:r>
      <w:r>
        <w:t xml:space="preserve"> </w:t>
      </w:r>
      <w:r>
        <w:rPr>
          <w:bCs/>
          <w:b/>
        </w:rPr>
        <w:t xml:space="preserve">6</w:t>
      </w:r>
      <w:r>
        <w:t xml:space="preserve">; excluídos na íntegra:</w:t>
      </w:r>
      <w:r>
        <w:t xml:space="preserve"> </w:t>
      </w:r>
      <w:r>
        <w:rPr>
          <w:bCs/>
          <w:b/>
        </w:rPr>
        <w:t xml:space="preserve">4</w:t>
      </w:r>
      <w:r>
        <w:t xml:space="preserve">.</w:t>
      </w:r>
    </w:p>
    <w:p>
      <w:pPr>
        <w:pStyle w:val="BodyText"/>
      </w:pPr>
      <w:r>
        <w:rPr>
          <w:bCs/>
          <w:b/>
        </w:rPr>
        <w:t xml:space="preserve">Risco de viés (JBI, versões 2017)</w:t>
      </w:r>
      <w:r>
        <w:t xml:space="preserve"> </w:t>
      </w:r>
      <w:r>
        <w:t xml:space="preserve">- Três listas: prevalência</w:t>
      </w:r>
      <w:r>
        <w:t xml:space="preserve"> </w:t>
      </w:r>
      <w:r>
        <w:rPr>
          <w:bCs/>
          <w:b/>
        </w:rPr>
        <w:t xml:space="preserve">9 itens</w:t>
      </w:r>
      <w:r>
        <w:t xml:space="preserve"> </w:t>
      </w:r>
      <w:r>
        <w:t xml:space="preserve">(7 estudos), transversal analítico</w:t>
      </w:r>
      <w:r>
        <w:t xml:space="preserve"> </w:t>
      </w:r>
      <w:r>
        <w:rPr>
          <w:bCs/>
          <w:b/>
        </w:rPr>
        <w:t xml:space="preserve">8 itens</w:t>
      </w:r>
      <w:r>
        <w:t xml:space="preserve"> </w:t>
      </w:r>
      <w:r>
        <w:t xml:space="preserve">(12 estudos), coorte</w:t>
      </w:r>
      <w:r>
        <w:t xml:space="preserve"> </w:t>
      </w:r>
      <w:r>
        <w:rPr>
          <w:bCs/>
          <w:b/>
        </w:rPr>
        <w:t xml:space="preserve">11 itens</w:t>
      </w:r>
      <w:r>
        <w:t xml:space="preserve"> </w:t>
      </w:r>
      <w:r>
        <w:t xml:space="preserve">(3 estudos). 7 + 12 + 3 = 22.</w:t>
      </w:r>
      <w:r>
        <w:t xml:space="preserve"> </w:t>
      </w:r>
      <w:r>
        <w:t xml:space="preserve">- Domínios críticos de prevalência:</w:t>
      </w:r>
      <w:r>
        <w:t xml:space="preserve"> </w:t>
      </w:r>
      <w:r>
        <w:rPr>
          <w:bCs/>
          <w:b/>
        </w:rPr>
        <w:t xml:space="preserve">amostragem, tamanho amostral, validade da mensuração do desfecho, taxa de resposta</w:t>
      </w:r>
      <w:r>
        <w:t xml:space="preserve"> </w:t>
      </w:r>
      <w:r>
        <w:t xml:space="preserve">(itens 2, 3, 6, 9).</w:t>
      </w:r>
      <w:r>
        <w:t xml:space="preserve"> </w:t>
      </w:r>
      <w:r>
        <w:t xml:space="preserve">- Global:</w:t>
      </w:r>
      <w:r>
        <w:t xml:space="preserve"> </w:t>
      </w:r>
      <w:r>
        <w:rPr>
          <w:bCs/>
          <w:b/>
        </w:rPr>
        <w:t xml:space="preserve">11 alta, 11 moderada, 0 baixa</w:t>
      </w:r>
      <w:r>
        <w:t xml:space="preserve"> </w:t>
      </w:r>
      <w:r>
        <w:t xml:space="preserve">[cálculo meu]. Entre os 7 agrupados:</w:t>
      </w:r>
      <w:r>
        <w:t xml:space="preserve"> </w:t>
      </w:r>
      <w:r>
        <w:rPr>
          <w:bCs/>
          <w:b/>
        </w:rPr>
        <w:t xml:space="preserve">4 alta, 3 moderada</w:t>
      </w:r>
      <w:r>
        <w:t xml:space="preserve">.</w:t>
      </w:r>
      <w:r>
        <w:t xml:space="preserve"> </w:t>
      </w:r>
      <w:r>
        <w:t xml:space="preserve">- Único estudo com amostragem probabilística e cálculo amostral:</w:t>
      </w:r>
      <w:r>
        <w:t xml:space="preserve"> </w:t>
      </w:r>
      <w:r>
        <w:rPr>
          <w:bCs/>
          <w:b/>
        </w:rPr>
        <w:t xml:space="preserve">Mohd Fikri Rosely; Titi Rahmawati, 2019</w:t>
      </w:r>
      <w:r>
        <w:t xml:space="preserve">.</w:t>
      </w:r>
      <w:r>
        <w:t xml:space="preserve"> </w:t>
      </w:r>
      <w:r>
        <w:t xml:space="preserve">- Item 9 (taxa de resposta):</w:t>
      </w:r>
      <w:r>
        <w:t xml:space="preserve"> </w:t>
      </w:r>
      <w:r>
        <w:rPr>
          <w:bCs/>
          <w:b/>
        </w:rPr>
        <w:t xml:space="preserve">“</w:t>
      </w:r>
      <w:r>
        <w:rPr>
          <w:bCs/>
          <w:b/>
        </w:rPr>
        <w:t xml:space="preserve">incerto</w:t>
      </w:r>
      <w:r>
        <w:rPr>
          <w:bCs/>
          <w:b/>
        </w:rPr>
        <w:t xml:space="preserve">”</w:t>
      </w:r>
      <w:r>
        <w:rPr>
          <w:bCs/>
          <w:b/>
        </w:rPr>
        <w:t xml:space="preserve"> </w:t>
      </w:r>
      <w:r>
        <w:rPr>
          <w:bCs/>
          <w:b/>
        </w:rPr>
        <w:t xml:space="preserve">em 7/7</w:t>
      </w:r>
      <w:r>
        <w:t xml:space="preserve">.</w:t>
      </w:r>
      <w:r>
        <w:t xml:space="preserve"> </w:t>
      </w:r>
      <w:r>
        <w:t xml:space="preserve">- Quadro E1: item 3 incerto em</w:t>
      </w:r>
      <w:r>
        <w:t xml:space="preserve"> </w:t>
      </w:r>
      <w:r>
        <w:rPr>
          <w:bCs/>
          <w:b/>
        </w:rPr>
        <w:t xml:space="preserve">1</w:t>
      </w:r>
      <w:r>
        <w:t xml:space="preserve"> </w:t>
      </w:r>
      <w:r>
        <w:t xml:space="preserve">estudo; item 5 em</w:t>
      </w:r>
      <w:r>
        <w:t xml:space="preserve"> </w:t>
      </w:r>
      <w:r>
        <w:rPr>
          <w:bCs/>
          <w:b/>
        </w:rPr>
        <w:t xml:space="preserve">8</w:t>
      </w:r>
      <w:r>
        <w:t xml:space="preserve">; item 6 em</w:t>
      </w:r>
      <w:r>
        <w:t xml:space="preserve"> </w:t>
      </w:r>
      <w:r>
        <w:rPr>
          <w:bCs/>
          <w:b/>
        </w:rPr>
        <w:t xml:space="preserve">5</w:t>
      </w:r>
      <w:r>
        <w:t xml:space="preserve">.</w:t>
      </w:r>
      <w:r>
        <w:t xml:space="preserve"> </w:t>
      </w:r>
      <w:r>
        <w:t xml:space="preserve">- Coortes: Stanganelli 2019</w:t>
      </w:r>
      <w:r>
        <w:t xml:space="preserve"> </w:t>
      </w:r>
      <w:r>
        <w:rPr>
          <w:bCs/>
          <w:b/>
        </w:rPr>
        <w:t xml:space="preserve">3/11, alta</w:t>
      </w:r>
      <w:r>
        <w:t xml:space="preserve">; Stanganelli Caus 2025</w:t>
      </w:r>
      <w:r>
        <w:t xml:space="preserve"> </w:t>
      </w:r>
      <w:r>
        <w:rPr>
          <w:bCs/>
          <w:b/>
        </w:rPr>
        <w:t xml:space="preserve">6/11, moderada</w:t>
      </w:r>
      <w:r>
        <w:t xml:space="preserve">; Navarro 2016</w:t>
      </w:r>
      <w:r>
        <w:t xml:space="preserve"> </w:t>
      </w:r>
      <w:r>
        <w:rPr>
          <w:bCs/>
          <w:b/>
        </w:rPr>
        <w:t xml:space="preserve">6/11, moderada</w:t>
      </w:r>
      <w:r>
        <w:t xml:space="preserve">.</w:t>
      </w:r>
    </w:p>
    <w:p>
      <w:pPr>
        <w:pStyle w:val="BodyText"/>
      </w:pPr>
      <w:r>
        <w:rPr>
          <w:bCs/>
          <w:b/>
        </w:rPr>
        <w:t xml:space="preserve">GRADE</w:t>
      </w:r>
      <w:r>
        <w:t xml:space="preserve"> </w:t>
      </w:r>
      <w:r>
        <w:t xml:space="preserve">- Cinco domínios de rebaixamento; ponto de partida</w:t>
      </w:r>
      <w:r>
        <w:t xml:space="preserve"> </w:t>
      </w:r>
      <w:r>
        <w:rPr>
          <w:bCs/>
          <w:b/>
        </w:rPr>
        <w:t xml:space="preserve">baixa</w:t>
      </w:r>
      <w:r>
        <w:t xml:space="preserve"> </w:t>
      </w:r>
      <w:r>
        <w:t xml:space="preserve">(alternativa: alta; conclusão igual).</w:t>
      </w:r>
      <w:r>
        <w:t xml:space="preserve"> </w:t>
      </w:r>
      <w:r>
        <w:t xml:space="preserve">- Tabela 2:</w:t>
      </w:r>
      <w:r>
        <w:t xml:space="preserve"> </w:t>
      </w:r>
      <w:r>
        <w:rPr>
          <w:bCs/>
          <w:b/>
        </w:rPr>
        <w:t xml:space="preserve">8 linhas</w:t>
      </w:r>
      <w:r>
        <w:t xml:space="preserve">, 7 graduadas como</w:t>
      </w:r>
      <w:r>
        <w:t xml:space="preserve"> </w:t>
      </w:r>
      <w:r>
        <w:rPr>
          <w:bCs/>
          <w:b/>
        </w:rPr>
        <w:t xml:space="preserve">muito baixa</w:t>
      </w:r>
      <w:r>
        <w:t xml:space="preserve"> </w:t>
      </w:r>
      <w:r>
        <w:t xml:space="preserve">e 1</w:t>
      </w:r>
      <w:r>
        <w:t xml:space="preserve"> </w:t>
      </w:r>
      <w:r>
        <w:t xml:space="preserve">“</w:t>
      </w:r>
      <w:r>
        <w:t xml:space="preserve">sem evidência</w:t>
      </w:r>
      <w:r>
        <w:t xml:space="preserve">”</w:t>
      </w:r>
      <w:r>
        <w:t xml:space="preserve"> </w:t>
      </w:r>
      <w:r>
        <w:t xml:space="preserve">(câncer/DPOC).</w:t>
      </w:r>
      <w:r>
        <w:t xml:space="preserve"> </w:t>
      </w:r>
      <w:r>
        <w:t xml:space="preserve">- Inconsistência</w:t>
      </w:r>
      <w:r>
        <w:t xml:space="preserve"> </w:t>
      </w:r>
      <w:r>
        <w:rPr>
          <w:bCs/>
          <w:b/>
        </w:rPr>
        <w:t xml:space="preserve">muito grave</w:t>
      </w:r>
      <w:r>
        <w:t xml:space="preserve">: I²</w:t>
      </w:r>
      <w:r>
        <w:t xml:space="preserve"> </w:t>
      </w:r>
      <w:r>
        <w:rPr>
          <w:bCs/>
          <w:b/>
        </w:rPr>
        <w:t xml:space="preserve">93%</w:t>
      </w:r>
      <w:r>
        <w:t xml:space="preserve"> </w:t>
      </w:r>
      <w:r>
        <w:t xml:space="preserve">(ocular) e</w:t>
      </w:r>
      <w:r>
        <w:t xml:space="preserve"> </w:t>
      </w:r>
      <w:r>
        <w:rPr>
          <w:bCs/>
          <w:b/>
        </w:rPr>
        <w:t xml:space="preserve">91%</w:t>
      </w:r>
      <w:r>
        <w:t xml:space="preserve"> </w:t>
      </w:r>
      <w:r>
        <w:t xml:space="preserve">(respiratório); IP</w:t>
      </w:r>
      <w:r>
        <w:t xml:space="preserve"> </w:t>
      </w:r>
      <w:r>
        <w:rPr>
          <w:bCs/>
          <w:b/>
        </w:rPr>
        <w:t xml:space="preserve">7–83%</w:t>
      </w:r>
      <w:r>
        <w:t xml:space="preserve"> </w:t>
      </w:r>
      <w:r>
        <w:t xml:space="preserve">e</w:t>
      </w:r>
      <w:r>
        <w:t xml:space="preserve"> </w:t>
      </w:r>
      <w:r>
        <w:rPr>
          <w:bCs/>
          <w:b/>
        </w:rPr>
        <w:t xml:space="preserve">15–74%</w:t>
      </w:r>
      <w:r>
        <w:t xml:space="preserve">.</w:t>
      </w:r>
      <w:r>
        <w:t xml:space="preserve"> </w:t>
      </w:r>
      <w:r>
        <w:t xml:space="preserve">- Imprecisão</w:t>
      </w:r>
      <w:r>
        <w:t xml:space="preserve"> </w:t>
      </w:r>
      <w:r>
        <w:rPr>
          <w:bCs/>
          <w:b/>
        </w:rPr>
        <w:t xml:space="preserve">grave</w:t>
      </w:r>
      <w:r>
        <w:t xml:space="preserve">: IC95%</w:t>
      </w:r>
      <w:r>
        <w:t xml:space="preserve"> </w:t>
      </w:r>
      <w:r>
        <w:rPr>
          <w:bCs/>
          <w:b/>
        </w:rPr>
        <w:t xml:space="preserve">21,9–56,5</w:t>
      </w:r>
      <w:r>
        <w:t xml:space="preserve"> </w:t>
      </w:r>
      <w:r>
        <w:t xml:space="preserve">e</w:t>
      </w:r>
      <w:r>
        <w:t xml:space="preserve"> </w:t>
      </w:r>
      <w:r>
        <w:rPr>
          <w:bCs/>
          <w:b/>
        </w:rPr>
        <w:t xml:space="preserve">30,4–53,9</w:t>
      </w:r>
      <w:r>
        <w:t xml:space="preserve">.</w:t>
      </w:r>
      <w:r>
        <w:t xml:space="preserve"> </w:t>
      </w:r>
      <w:r>
        <w:t xml:space="preserve">- Evidência indireta:</w:t>
      </w:r>
      <w:r>
        <w:t xml:space="preserve"> </w:t>
      </w:r>
      <w:r>
        <w:rPr>
          <w:bCs/>
          <w:b/>
        </w:rPr>
        <w:t xml:space="preserve">não rebaixada</w:t>
      </w:r>
      <w:r>
        <w:t xml:space="preserve"> </w:t>
      </w:r>
      <w:r>
        <w:t xml:space="preserve">nos 3 desfechos de sintomas;</w:t>
      </w:r>
      <w:r>
        <w:t xml:space="preserve"> </w:t>
      </w:r>
      <w:r>
        <w:rPr>
          <w:bCs/>
          <w:b/>
        </w:rPr>
        <w:t xml:space="preserve">grave</w:t>
      </w:r>
      <w:r>
        <w:t xml:space="preserve"> </w:t>
      </w:r>
      <w:r>
        <w:t xml:space="preserve">nos 4 objetivos.</w:t>
      </w:r>
      <w:r>
        <w:t xml:space="preserve"> </w:t>
      </w:r>
      <w:r>
        <w:t xml:space="preserve">- Viés de publicação:</w:t>
      </w:r>
      <w:r>
        <w:t xml:space="preserve"> </w:t>
      </w:r>
      <w:r>
        <w:rPr>
          <w:bCs/>
          <w:b/>
        </w:rPr>
        <w:t xml:space="preserve">não rebaixado</w:t>
      </w:r>
      <w:r>
        <w:t xml:space="preserve"> </w:t>
      </w:r>
      <w:r>
        <w:t xml:space="preserve">em nenhum; sem Egger (&lt; 10 estudos; proporções geram assimetria espúria).</w:t>
      </w:r>
      <w:r>
        <w:t xml:space="preserve"> </w:t>
      </w:r>
      <w:r>
        <w:t xml:space="preserve">- tau² (escala logito):</w:t>
      </w:r>
      <w:r>
        <w:t xml:space="preserve"> </w:t>
      </w:r>
      <w:r>
        <w:rPr>
          <w:bCs/>
          <w:b/>
        </w:rPr>
        <w:t xml:space="preserve">0,493</w:t>
      </w:r>
      <w:r>
        <w:t xml:space="preserve"> </w:t>
      </w:r>
      <w:r>
        <w:t xml:space="preserve">(ocular) e</w:t>
      </w:r>
      <w:r>
        <w:t xml:space="preserve"> </w:t>
      </w:r>
      <w:r>
        <w:rPr>
          <w:bCs/>
          <w:b/>
        </w:rPr>
        <w:t xml:space="preserve">0,249</w:t>
      </w:r>
      <w:r>
        <w:t xml:space="preserve"> </w:t>
      </w:r>
      <w:r>
        <w:t xml:space="preserve">(respiratório); Q = 67,81 (gl 5) e 65,08 (gl 6), p &lt; 0,001.</w:t>
      </w:r>
      <w:r>
        <w:t xml:space="preserve"> </w:t>
      </w:r>
      <w:r>
        <w:t xml:space="preserve">- Sem linha própria: HR 1,5 (0,99–2,42) de Stanganelli Caus 2025.</w:t>
      </w:r>
    </w:p>
    <w:bookmarkEnd w:id="101"/>
    <w:bookmarkEnd w:id="102"/>
    <w:bookmarkStart w:id="108" w:name="X8c56baf3a955ca235e454f19ff24a937bf92e06"/>
    <w:p>
      <w:pPr>
        <w:pStyle w:val="Heading2"/>
      </w:pPr>
      <w:r>
        <w:t xml:space="preserve">Parte 5 — Perguntas prováveis da banca e respostas-modelo</w:t>
      </w:r>
    </w:p>
    <w:p>
      <w:pPr>
        <w:pStyle w:val="FirstParagraph"/>
      </w:pPr>
      <w:r>
        <w:t xml:space="preserve">As respostas estão em primeira pessoa, no tamanho de uma resposta oral (30–60 s). Cada bloco foi escrito por um revisor e depois conferido, número a número, contra o manuscrito por um segundo revisor independente; o registro dessas conferências está no Apêndice. Onde a resposta depende de algo que só você sabe (tempo gasto em cada etapa, dificuldades pessoais), há colchetes para você preencher.</w:t>
      </w:r>
    </w:p>
    <w:bookmarkStart w:id="103" w:name="lente-estatística-e-metanálise"/>
    <w:p>
      <w:pPr>
        <w:pStyle w:val="Heading3"/>
      </w:pPr>
      <w:r>
        <w:t xml:space="preserve">Lente: Estatística e metanálise</w:t>
      </w:r>
    </w:p>
    <w:p>
      <w:pPr>
        <w:pStyle w:val="FirstParagraph"/>
      </w:pPr>
      <w:r>
        <w:rPr>
          <w:bCs/>
          <w:b/>
        </w:rPr>
        <w:t xml:space="preserve">P1. [Básica] Por que você escolheu um modelo de efeitos aleatórios, e não de efeito fixo? O que esse modelo assume?</w:t>
      </w:r>
    </w:p>
    <w:p>
      <w:pPr>
        <w:pStyle w:val="BodyText"/>
      </w:pPr>
      <w:r>
        <w:t xml:space="preserve">Escolhi efeitos aleatórios porque esse modelo assume que a prevalência verdadeira varia entre os estudos, enquanto o efeito fixo assume um único valor comum a todos. No meu caso essa variação é esperada por desenho: os seis estudos do agrupamento ocular vêm de três países (Turquia, Malásia e Brasil), com instrumentos, definições de sintoma e contextos de centro cirúrgico diferentes; a revisão como um todo, com 22 relatórios, cobre nove países. O modelo incorpora essa variação como a variância entre estudos, o tau², que foi de</w:t>
      </w:r>
      <w:r>
        <w:t xml:space="preserve"> </w:t>
      </w:r>
      <w:r>
        <w:rPr>
          <w:bCs/>
          <w:b/>
        </w:rPr>
        <w:t xml:space="preserve">0,493</w:t>
      </w:r>
      <w:r>
        <w:t xml:space="preserve"> </w:t>
      </w:r>
      <w:r>
        <w:t xml:space="preserve">na escala logito para o sintoma ocular; e o I² de</w:t>
      </w:r>
      <w:r>
        <w:t xml:space="preserve"> </w:t>
      </w:r>
      <w:r>
        <w:rPr>
          <w:bCs/>
          <w:b/>
        </w:rPr>
        <w:t xml:space="preserve">93%</w:t>
      </w:r>
      <w:r>
        <w:t xml:space="preserve"> </w:t>
      </w:r>
      <w:r>
        <w:t xml:space="preserve">confirmou que o pressuposto de efeito único seria insustentável. Na prática, o efeito aleatório evita que os estudos maiores dominem a estimativa e, com o ajuste de Hartung-Knapp, produz um intervalo de confiança mais honesto, de</w:t>
      </w:r>
      <w:r>
        <w:t xml:space="preserve"> </w:t>
      </w:r>
      <w:r>
        <w:rPr>
          <w:bCs/>
          <w:b/>
        </w:rPr>
        <w:t xml:space="preserve">21,9 a 56,5%</w:t>
      </w:r>
      <w:r>
        <w:t xml:space="preserve">. Por isso a estimativa de</w:t>
      </w:r>
      <w:r>
        <w:t xml:space="preserve"> </w:t>
      </w:r>
      <w:r>
        <w:rPr>
          <w:bCs/>
          <w:b/>
        </w:rPr>
        <w:t xml:space="preserve">37,6%</w:t>
      </w:r>
      <w:r>
        <w:t xml:space="preserve"> </w:t>
      </w:r>
      <w:r>
        <w:t xml:space="preserve">deve ser lida como a média de uma distribuição de prevalências, e é por isso que reporto junto o intervalo de predição, de</w:t>
      </w:r>
      <w:r>
        <w:t xml:space="preserve"> </w:t>
      </w:r>
      <w:r>
        <w:rPr>
          <w:bCs/>
          <w:b/>
        </w:rPr>
        <w:t xml:space="preserve">7 a 83%</w:t>
      </w:r>
      <w:r>
        <w:t xml:space="preserve">.</w:t>
      </w:r>
    </w:p>
    <w:p>
      <w:pPr>
        <w:pStyle w:val="BlockText"/>
      </w:pPr>
      <w:r>
        <w:t xml:space="preserve">Dica: Não diga que escolheu efeitos aleatórios</w:t>
      </w:r>
      <w:r>
        <w:t xml:space="preserve"> </w:t>
      </w:r>
      <w:r>
        <w:t xml:space="preserve">‘</w:t>
      </w:r>
      <w:r>
        <w:t xml:space="preserve">porque o I² deu alto</w:t>
      </w:r>
      <w:r>
        <w:t xml:space="preserve">’</w:t>
      </w:r>
      <w:r>
        <w:t xml:space="preserve"> </w:t>
      </w:r>
      <w:r>
        <w:t xml:space="preserve">(soa a decisão a posteriori). O modelo principal consta na seção</w:t>
      </w:r>
      <w:r>
        <w:t xml:space="preserve"> </w:t>
      </w:r>
      <w:r>
        <w:t xml:space="preserve">‘</w:t>
      </w:r>
      <w:r>
        <w:t xml:space="preserve">Decisões posteriores ao registro</w:t>
      </w:r>
      <w:r>
        <w:t xml:space="preserve">’</w:t>
      </w:r>
      <w:r>
        <w:t xml:space="preserve">, tomadas independentemente dos resultados individuais: o argumento é conceitual (populações e contextos diferentes); o I² só confirmou. Cuidado:</w:t>
      </w:r>
      <w:r>
        <w:t xml:space="preserve"> </w:t>
      </w:r>
      <w:r>
        <w:t xml:space="preserve">‘</w:t>
      </w:r>
      <w:r>
        <w:t xml:space="preserve">nove países</w:t>
      </w:r>
      <w:r>
        <w:t xml:space="preserve">’</w:t>
      </w:r>
      <w:r>
        <w:t xml:space="preserve"> </w:t>
      </w:r>
      <w:r>
        <w:t xml:space="preserve">é da revisão inteira, não da metanálise.</w:t>
      </w:r>
    </w:p>
    <w:p>
      <w:pPr>
        <w:pStyle w:val="FirstParagraph"/>
      </w:pPr>
      <w:r>
        <w:rPr>
          <w:bCs/>
          <w:b/>
        </w:rPr>
        <w:t xml:space="preserve">P2. [Básica] O que significa exatamente o</w:t>
      </w:r>
      <w:r>
        <w:rPr>
          <w:bCs/>
          <w:b/>
        </w:rPr>
        <w:t xml:space="preserve"> </w:t>
      </w:r>
      <w:r>
        <w:rPr>
          <w:bCs/>
          <w:b/>
        </w:rPr>
        <w:t xml:space="preserve">‘</w:t>
      </w:r>
      <w:r>
        <w:rPr>
          <w:bCs/>
          <w:b/>
        </w:rPr>
        <w:t xml:space="preserve">n = 756</w:t>
      </w:r>
      <w:r>
        <w:rPr>
          <w:bCs/>
          <w:b/>
        </w:rPr>
        <w:t xml:space="preserve">’</w:t>
      </w:r>
      <w:r>
        <w:rPr>
          <w:bCs/>
          <w:b/>
        </w:rPr>
        <w:t xml:space="preserve"> </w:t>
      </w:r>
      <w:r>
        <w:rPr>
          <w:bCs/>
          <w:b/>
        </w:rPr>
        <w:t xml:space="preserve">da metanálise ocular? Por que o desfecho principal tem menos participantes do que o exploratório, com 1.428?</w:t>
      </w:r>
    </w:p>
    <w:p>
      <w:pPr>
        <w:pStyle w:val="BodyText"/>
      </w:pPr>
      <w:r>
        <w:t xml:space="preserve">O n = 756 é a soma dos denominadores das seis amostras independentes do agrupamento ocular: 81 de İlçe, 82 de Cinar e Sanlier, 105 de Usta, 196 e 137 dos dois estudos malaios e 155 de Bieniek 2022. Não é o número de pessoas com sintoma nem o total das 22 publicações; é o número de profissionais efetivamente analisados para esse desfecho, sem ninguém contado duas vezes, porque o cluster brasileiro entrou com um único representante. O desfecho principal tem menos participantes porque o maior inquérito elegível, Van Giersbergen 2019, com</w:t>
      </w:r>
      <w:r>
        <w:t xml:space="preserve"> </w:t>
      </w:r>
      <w:r>
        <w:rPr>
          <w:bCs/>
          <w:b/>
        </w:rPr>
        <w:t xml:space="preserve">672</w:t>
      </w:r>
      <w:r>
        <w:t xml:space="preserve"> </w:t>
      </w:r>
      <w:r>
        <w:t xml:space="preserve">pessoas, não reportou numerador e denominador extraíveis para sintoma ocular; dele só eram extraíveis os dados respiratórios e de</w:t>
      </w:r>
      <w:r>
        <w:t xml:space="preserve"> </w:t>
      </w:r>
      <w:r>
        <w:t xml:space="preserve">‘</w:t>
      </w:r>
      <w:r>
        <w:t xml:space="preserve">qualquer sintoma</w:t>
      </w:r>
      <w:r>
        <w:t xml:space="preserve">’</w:t>
      </w:r>
      <w:r>
        <w:t xml:space="preserve">, então ele entrou apenas no agrupamento respiratório, que por isso chega a</w:t>
      </w:r>
      <w:r>
        <w:t xml:space="preserve"> </w:t>
      </w:r>
      <w:r>
        <w:rPr>
          <w:bCs/>
          <w:b/>
        </w:rPr>
        <w:t xml:space="preserve">1.428</w:t>
      </w:r>
      <w:r>
        <w:t xml:space="preserve">, e na síntese narrativa de qualquer sintoma. Reconheço isso nas limitações como uma fragilidade específica do desfecho principal. E lembro que, em efeitos aleatórios, o peso de cada estudo não é proporcional ao n: o 756 descreve o tamanho da base de evidência, não define sozinho a precisão.</w:t>
      </w:r>
    </w:p>
    <w:p>
      <w:pPr>
        <w:pStyle w:val="BlockText"/>
      </w:pPr>
      <w:r>
        <w:t xml:space="preserve">Dica: Se perguntarem por que 37,6% não é simplesmente a soma dos eventos (269/756 = 35,6%; conta a partir do Anexo D, não está no texto): o modelo pondera estudos na escala logito, não soma indivíduos. Nunca diga</w:t>
      </w:r>
      <w:r>
        <w:t xml:space="preserve"> </w:t>
      </w:r>
      <w:r>
        <w:t xml:space="preserve">‘</w:t>
      </w:r>
      <w:r>
        <w:t xml:space="preserve">n = 22 estudos</w:t>
      </w:r>
      <w:r>
        <w:t xml:space="preserve">’</w:t>
      </w:r>
      <w:r>
        <w:t xml:space="preserve"> </w:t>
      </w:r>
      <w:r>
        <w:t xml:space="preserve">para a metanálise.</w:t>
      </w:r>
    </w:p>
    <w:p>
      <w:pPr>
        <w:pStyle w:val="FirstParagraph"/>
      </w:pPr>
      <w:r>
        <w:rPr>
          <w:bCs/>
          <w:b/>
        </w:rPr>
        <w:t xml:space="preserve">P3. [Intermediária] Por que a transformação logito como modelo principal, e não o duplo-arcoseno de Freeman-Tukey, que é o mais usado em metanálise de prevalência?</w:t>
      </w:r>
    </w:p>
    <w:p>
      <w:pPr>
        <w:pStyle w:val="BodyText"/>
      </w:pPr>
      <w:r>
        <w:t xml:space="preserve">A transformação logito leva a proporção, que vive entre 0 e 1, para a escala do logaritmo da chance, de menos a mais infinito; isso aproxima a distribuição da normal e garante que a estimativa combinada e seus intervalos, ao serem retrotransformados, fiquem sempre entre 0 e 100%. A fragilidade prática do logito é precisar de correção de continuidade quando há proporções de 0% ou 100%, e isso não ocorreu: as prevalências individuais ficaram entre</w:t>
      </w:r>
      <w:r>
        <w:t xml:space="preserve"> </w:t>
      </w:r>
      <w:r>
        <w:rPr>
          <w:bCs/>
          <w:b/>
        </w:rPr>
        <w:t xml:space="preserve">19,4 e 56,1%</w:t>
      </w:r>
      <w:r>
        <w:t xml:space="preserve"> </w:t>
      </w:r>
      <w:r>
        <w:t xml:space="preserve">no ocular e entre</w:t>
      </w:r>
      <w:r>
        <w:t xml:space="preserve"> </w:t>
      </w:r>
      <w:r>
        <w:rPr>
          <w:bCs/>
          <w:b/>
        </w:rPr>
        <w:t xml:space="preserve">20,7 e 57,3%</w:t>
      </w:r>
      <w:r>
        <w:t xml:space="preserve"> </w:t>
      </w:r>
      <w:r>
        <w:t xml:space="preserve">no respiratório, então não apliquei correção. O Freeman-Tukey foi desenhado para estabilizar a variância, mas sua retrotransformação depende de um tamanho amostral de referência e, com tamanhos díspares, de 81 a 196 no ocular e de 81 a 672 no respiratório, pode distorcer a estimativa; essa crítica é conhecimento geral da literatura metodológica, não um resultado meu. Por isso usei o Freeman-Tukey apenas como análise de sensibilidade, seguindo Barker e colaboradores 2021: estimador de DerSimonian-Laird, intervalo normal e retrotransformação pela média harmônica dos tamanhos amostrais. O resultado foi concordante:</w:t>
      </w:r>
      <w:r>
        <w:t xml:space="preserve"> </w:t>
      </w:r>
      <w:r>
        <w:rPr>
          <w:bCs/>
          <w:b/>
        </w:rPr>
        <w:t xml:space="preserve">38,1% contra 37,6%</w:t>
      </w:r>
      <w:r>
        <w:t xml:space="preserve"> </w:t>
      </w:r>
      <w:r>
        <w:t xml:space="preserve">no ocular e</w:t>
      </w:r>
      <w:r>
        <w:t xml:space="preserve"> </w:t>
      </w:r>
      <w:r>
        <w:rPr>
          <w:bCs/>
          <w:b/>
        </w:rPr>
        <w:t xml:space="preserve">41,7%</w:t>
      </w:r>
      <w:r>
        <w:t xml:space="preserve"> </w:t>
      </w:r>
      <w:r>
        <w:t xml:space="preserve">em ambos no respiratório. A escolha da transformação não mudou a conclusão.</w:t>
      </w:r>
    </w:p>
    <w:p>
      <w:pPr>
        <w:pStyle w:val="BlockText"/>
      </w:pPr>
      <w:r>
        <w:t xml:space="preserve">Dica: O Anexo I (glossário) tem a definição pronta de logito e de Freeman-Tukey. Não diga que o Freeman-Tukey</w:t>
      </w:r>
      <w:r>
        <w:t xml:space="preserve"> </w:t>
      </w:r>
      <w:r>
        <w:t xml:space="preserve">‘</w:t>
      </w:r>
      <w:r>
        <w:t xml:space="preserve">está errado</w:t>
      </w:r>
      <w:r>
        <w:t xml:space="preserve">’</w:t>
      </w:r>
      <w:r>
        <w:t xml:space="preserve">: diga que é alternativa válida, usada como sensibilidade, e que o resultado convergiu. A crítica clássica à retrotransformação do Freeman-Tukey é de Schwarzer e colaboradores 2019, que NÃO está nas suas referências: cite como conhecimento geral, não como algo do seu texto.</w:t>
      </w:r>
    </w:p>
    <w:p>
      <w:pPr>
        <w:pStyle w:val="FirstParagraph"/>
      </w:pPr>
      <w:r>
        <w:rPr>
          <w:bCs/>
          <w:b/>
        </w:rPr>
        <w:t xml:space="preserve">P4. [Avançada] Por que estimar o tau² por Paule-Mandel, e não por DerSimonian-Laird, que é o padrão da maioria dos softwares?</w:t>
      </w:r>
    </w:p>
    <w:p>
      <w:pPr>
        <w:pStyle w:val="BodyText"/>
      </w:pPr>
      <w:r>
        <w:t xml:space="preserve">O tau² é a variância entre estudos e é a peça central do modelo: ele define os pesos e entra no intervalo de predição. DerSimonian-Laird é um estimador de momentos, não iterativo, simples e rápido, mas a literatura de métodos mostra que ele tende a subestimar o tau² quando a heterogeneidade é alta e o número de estudos é pequeno, que é exatamente a minha situação, com k = 6 e 7 e I² acima de 90%; isso é conhecimento geral, não um resultado meu. Paule-Mandel é um estimador iterativo, que escolhe o tau² que faz a estatística Q ponderada igualar seus graus de liberdade, e é o recomendado nas revisões metodológicas para esse cenário. No modelo principal, o tau² foi de</w:t>
      </w:r>
      <w:r>
        <w:t xml:space="preserve"> </w:t>
      </w:r>
      <w:r>
        <w:rPr>
          <w:bCs/>
          <w:b/>
        </w:rPr>
        <w:t xml:space="preserve">0,493</w:t>
      </w:r>
      <w:r>
        <w:t xml:space="preserve"> </w:t>
      </w:r>
      <w:r>
        <w:t xml:space="preserve">na escala logito para o sintoma ocular e de</w:t>
      </w:r>
      <w:r>
        <w:t xml:space="preserve"> </w:t>
      </w:r>
      <w:r>
        <w:rPr>
          <w:bCs/>
          <w:b/>
        </w:rPr>
        <w:t xml:space="preserve">0,249</w:t>
      </w:r>
      <w:r>
        <w:t xml:space="preserve"> </w:t>
      </w:r>
      <w:r>
        <w:t xml:space="preserve">para o respiratório, como consta no Anexo G. A sensibilidade com Freeman-Tukey usou justamente DerSimonian-Laird e deu 38,1% contra 37,6%; essa comparação muda duas coisas ao mesmo tempo, a transformação e o estimador, mas a concordância sugere que nenhuma das duas escolhas dirigiu o resultado. Foi uma escolha de rigor, não de conveniência.</w:t>
      </w:r>
    </w:p>
    <w:p>
      <w:pPr>
        <w:pStyle w:val="BlockText"/>
      </w:pPr>
      <w:r>
        <w:t xml:space="preserve">Dica: Se o avaliador citar Veroniki ou Langan (revisões de estimadores de tau²), concorde: é a mesma recomendação (conhecimento geral; não estão nas suas referências). Não entre em detalhes de convergência do algoritmo; basta</w:t>
      </w:r>
      <w:r>
        <w:t xml:space="preserve"> </w:t>
      </w:r>
      <w:r>
        <w:t xml:space="preserve">‘</w:t>
      </w:r>
      <w:r>
        <w:t xml:space="preserve">iterativo, baseado em Q</w:t>
      </w:r>
      <w:r>
        <w:t xml:space="preserve">’</w:t>
      </w:r>
      <w:r>
        <w:t xml:space="preserve">. O manuscrito não justifica Paule-Mandel explicitamente, só o adota; a justificativa é sua, de conhecimento geral.</w:t>
      </w:r>
    </w:p>
    <w:p>
      <w:pPr>
        <w:pStyle w:val="FirstParagraph"/>
      </w:pPr>
      <w:r>
        <w:rPr>
          <w:bCs/>
          <w:b/>
        </w:rPr>
        <w:t xml:space="preserve">P5. [Avançada] O que o ajuste de Hartung-Knapp faz com o intervalo de confiança e por que você o adotou como principal?</w:t>
      </w:r>
    </w:p>
    <w:p>
      <w:pPr>
        <w:pStyle w:val="BodyText"/>
      </w:pPr>
      <w:r>
        <w:t xml:space="preserve">O intervalo clássico do efeito aleatório usa o quantil da normal e trata o tau² como se fosse conhecido, o que é otimista demais com poucos estudos e muita heterogeneidade. O ajuste de Hartung-Knapp-Sidik-Jonkman troca a normal pela distribuição t de Student com k − 1 graus de liberdade e reescala a variância da estimativa combinada pela dispersão observada dos estudos em torno da média; isso é conhecimento geral do método. Em geral o efeito é alargar o intervalo, tornando-o mais honesto, e os estudos de simulação que cito, IntHout e colaboradores de 2014, mostram que ele mantém a cobertura nominal onde o método padrão falha; Barker e colaboradores 2021 recomendam o mesmo para metanálise de proporção. Adotei como principal porque tenho exatamente o cenário em que ele é indicado:</w:t>
      </w:r>
      <w:r>
        <w:t xml:space="preserve"> </w:t>
      </w:r>
      <w:r>
        <w:rPr>
          <w:bCs/>
          <w:b/>
        </w:rPr>
        <w:t xml:space="preserve">k = 6 e 7</w:t>
      </w:r>
      <w:r>
        <w:t xml:space="preserve"> </w:t>
      </w:r>
      <w:r>
        <w:t xml:space="preserve">e</w:t>
      </w:r>
      <w:r>
        <w:t xml:space="preserve"> </w:t>
      </w:r>
      <w:r>
        <w:rPr>
          <w:bCs/>
          <w:b/>
        </w:rPr>
        <w:t xml:space="preserve">I² de 93 e 91%</w:t>
      </w:r>
      <w:r>
        <w:t xml:space="preserve">. O intervalo de</w:t>
      </w:r>
      <w:r>
        <w:t xml:space="preserve"> </w:t>
      </w:r>
      <w:r>
        <w:rPr>
          <w:bCs/>
          <w:b/>
        </w:rPr>
        <w:t xml:space="preserve">21,9 a 56,5%</w:t>
      </w:r>
      <w:r>
        <w:t xml:space="preserve"> </w:t>
      </w:r>
      <w:r>
        <w:t xml:space="preserve">para o sintoma ocular já reflete esse ajuste. Reconheço o custo: o intervalo fica largo e o GRADE rebaixou imprecisão como grave, mas prefiro um intervalo largo e correto a um estreito e enganoso.</w:t>
      </w:r>
    </w:p>
    <w:p>
      <w:pPr>
        <w:pStyle w:val="BlockText"/>
      </w:pPr>
      <w:r>
        <w:t xml:space="preserve">Dica: Se perguntarem se o HK pode estreitar o IC: sim, quando os estudos são mais homogêneos do que o esperado (conhecimento geral). Você não reportou o IC sem ajuste, então não afirme</w:t>
      </w:r>
      <w:r>
        <w:t xml:space="preserve"> </w:t>
      </w:r>
      <w:r>
        <w:t xml:space="preserve">‘</w:t>
      </w:r>
      <w:r>
        <w:t xml:space="preserve">quanto</w:t>
      </w:r>
      <w:r>
        <w:t xml:space="preserve">’</w:t>
      </w:r>
      <w:r>
        <w:t xml:space="preserve"> </w:t>
      </w:r>
      <w:r>
        <w:t xml:space="preserve">alargou; diga apenas que, com I² &gt; 90%, o cenário é o de alargamento.</w:t>
      </w:r>
    </w:p>
    <w:p>
      <w:pPr>
        <w:pStyle w:val="FirstParagraph"/>
      </w:pPr>
      <w:r>
        <w:rPr>
          <w:bCs/>
          <w:b/>
        </w:rPr>
        <w:t xml:space="preserve">P6. [Intermediária] I² = 93% é altíssimo. Isso não invalida combinar os estudos?</w:t>
      </w:r>
    </w:p>
    <w:p>
      <w:pPr>
        <w:pStyle w:val="BodyText"/>
      </w:pPr>
      <w:r>
        <w:t xml:space="preserve">Não invalida, mas muda como a estimativa deve ser lida. O I² expressa a proporção da variabilidade total atribuível à heterogeneidade entre estudos, e não ao acaso; no ocular, o Q de Cochran foi</w:t>
      </w:r>
      <w:r>
        <w:t xml:space="preserve"> </w:t>
      </w:r>
      <w:r>
        <w:rPr>
          <w:bCs/>
          <w:b/>
        </w:rPr>
        <w:t xml:space="preserve">67,81 com 5 graus de liberdade</w:t>
      </w:r>
      <w:r>
        <w:t xml:space="preserve">, e I² = (Q − gl)/Q dá os 93%. Em metanálise de prevalência, I² alto é esperado, e o próprio texto registra isso na discussão: inquéritos têm variâncias internas pequenas e qualquer diferença real de contexto, instrumento ou definição vira heterogeneidade estatística, o que é conhecimento geral da área. Por isso não escondi o I²: tratei a inconsistência como muito grave no GRADE, reportei o tau² absoluto, de 0,493, e, principalmente, o intervalo de predição, de</w:t>
      </w:r>
      <w:r>
        <w:t xml:space="preserve"> </w:t>
      </w:r>
      <w:r>
        <w:rPr>
          <w:bCs/>
          <w:b/>
        </w:rPr>
        <w:t xml:space="preserve">7 a 83%</w:t>
      </w:r>
      <w:r>
        <w:t xml:space="preserve">, que traduz essa heterogeneidade em uma faixa interpretável. Também investiguei as fontes: a estratificação por país reduziu o I² intragrupo para</w:t>
      </w:r>
      <w:r>
        <w:t xml:space="preserve"> </w:t>
      </w:r>
      <w:r>
        <w:rPr>
          <w:bCs/>
          <w:b/>
        </w:rPr>
        <w:t xml:space="preserve">57%</w:t>
      </w:r>
      <w:r>
        <w:t xml:space="preserve"> </w:t>
      </w:r>
      <w:r>
        <w:t xml:space="preserve">na Turquia e</w:t>
      </w:r>
      <w:r>
        <w:t xml:space="preserve"> </w:t>
      </w:r>
      <w:r>
        <w:rPr>
          <w:bCs/>
          <w:b/>
        </w:rPr>
        <w:t xml:space="preserve">0%</w:t>
      </w:r>
      <w:r>
        <w:t xml:space="preserve"> </w:t>
      </w:r>
      <w:r>
        <w:t xml:space="preserve">na Malásia, e, no respiratório, restringir a definições específicas do sintoma baixou o I² de</w:t>
      </w:r>
      <w:r>
        <w:t xml:space="preserve"> </w:t>
      </w:r>
      <w:r>
        <w:rPr>
          <w:bCs/>
          <w:b/>
        </w:rPr>
        <w:t xml:space="preserve">91 para 61%</w:t>
      </w:r>
      <w:r>
        <w:t xml:space="preserve">. A estimativa de 37,6% é uma média de prevalências que de fato variam entre contextos, não um número universal.</w:t>
      </w:r>
    </w:p>
    <w:p>
      <w:pPr>
        <w:pStyle w:val="BlockText"/>
      </w:pPr>
      <w:r>
        <w:t xml:space="preserve">Dica: Frase-chave:</w:t>
      </w:r>
      <w:r>
        <w:t xml:space="preserve"> </w:t>
      </w:r>
      <w:r>
        <w:t xml:space="preserve">‘</w:t>
      </w:r>
      <w:r>
        <w:t xml:space="preserve">o I² é relativo; o tau² e o intervalo de predição são absolutos</w:t>
      </w:r>
      <w:r>
        <w:t xml:space="preserve">’</w:t>
      </w:r>
      <w:r>
        <w:t xml:space="preserve">. Não diga</w:t>
      </w:r>
      <w:r>
        <w:t xml:space="preserve"> </w:t>
      </w:r>
      <w:r>
        <w:t xml:space="preserve">‘</w:t>
      </w:r>
      <w:r>
        <w:t xml:space="preserve">I² alto é normal, então tudo bem</w:t>
      </w:r>
      <w:r>
        <w:t xml:space="preserve">’</w:t>
      </w:r>
      <w:r>
        <w:t xml:space="preserve">; diga</w:t>
      </w:r>
      <w:r>
        <w:t xml:space="preserve"> </w:t>
      </w:r>
      <w:r>
        <w:t xml:space="preserve">‘</w:t>
      </w:r>
      <w:r>
        <w:t xml:space="preserve">é esperado, e por isso rebaixei a certeza e reporto o intervalo de predição</w:t>
      </w:r>
      <w:r>
        <w:t xml:space="preserve">’</w:t>
      </w:r>
      <w:r>
        <w:t xml:space="preserve">.</w:t>
      </w:r>
    </w:p>
    <w:p>
      <w:pPr>
        <w:pStyle w:val="FirstParagraph"/>
      </w:pPr>
      <w:r>
        <w:rPr>
          <w:bCs/>
          <w:b/>
        </w:rPr>
        <w:t xml:space="preserve">P7. [Intermediária] Explique o intervalo de predição de 7 a 83%: como foi calculado e o que ele significa na prática?</w:t>
      </w:r>
    </w:p>
    <w:p>
      <w:pPr>
        <w:pStyle w:val="BodyText"/>
      </w:pPr>
      <w:r>
        <w:t xml:space="preserve">O intervalo de predição responde a uma pergunta diferente do intervalo de confiança: o IC, de 21,9 a 56,5%, diz onde está a média das prevalências verdadeiras; o intervalo de predição diz em que faixa espero encontrar a prevalência de um novo estudo, em um novo centro cirúrgico, com 95% de probabilidade. Calculei na escala logito como a estimativa combinada mais ou menos o quantil t com k − 2 graus de liberdade vezes a raiz de tau² mais o erro-padrão ao quadrado, seguindo Riley, Higgins e Deeks de 2011; com k = 6 são 4 graus de liberdade, e o tau² de 0,493 pesa muito mais do que o erro-padrão. Retrotransformando, dá</w:t>
      </w:r>
      <w:r>
        <w:t xml:space="preserve"> </w:t>
      </w:r>
      <w:r>
        <w:rPr>
          <w:bCs/>
          <w:b/>
        </w:rPr>
        <w:t xml:space="preserve">7 a 83%</w:t>
      </w:r>
      <w:r>
        <w:t xml:space="preserve"> </w:t>
      </w:r>
      <w:r>
        <w:t xml:space="preserve">no ocular e</w:t>
      </w:r>
      <w:r>
        <w:t xml:space="preserve"> </w:t>
      </w:r>
      <w:r>
        <w:rPr>
          <w:bCs/>
          <w:b/>
        </w:rPr>
        <w:t xml:space="preserve">15 a 74%</w:t>
      </w:r>
      <w:r>
        <w:t xml:space="preserve"> </w:t>
      </w:r>
      <w:r>
        <w:t xml:space="preserve">no respiratório. Na prática, isso significa que, dependendo do hospital, do instrumento e da proteção disponível, a prevalência de sintoma ocular pode ir de quase ninguém a quase todos; por isso digo que a estimativa combinada precisa ser lida à luz dessa amplitude. Reconheço que, com menos de dez estudos, o intervalo de predição é instável, porque depende de um tau² mal estimado; por isso o apresento com cautela e o considerei no domínio de inconsistência do GRADE, e não no de imprecisão, para não contar duas vezes.</w:t>
      </w:r>
    </w:p>
    <w:p>
      <w:pPr>
        <w:pStyle w:val="BlockText"/>
      </w:pPr>
      <w:r>
        <w:t xml:space="preserve">Dica: Verificação minha (não está no texto): com o tau² de 0,493, o IC de 21,9-56,5% e t com 4 graus de liberdade, a fórmula reproduz 6,8-83,4%, que arredonda para 7-83%; no respiratório, 15,2-74,0%. Você pode dizer com segurança que a fórmula fecha. Se perguntarem por que k − 2 e não k − 1: é a convenção de Higgins/Riley para o intervalo de predição, por estimar ao mesmo tempo a média e o tau² (conhecimento geral).</w:t>
      </w:r>
    </w:p>
    <w:p>
      <w:pPr>
        <w:pStyle w:val="FirstParagraph"/>
      </w:pPr>
      <w:r>
        <w:rPr>
          <w:bCs/>
          <w:b/>
        </w:rPr>
        <w:t xml:space="preserve">P8. [Intermediária] Por que não fez gráfico de funil nem teste de Egger? Como avaliou o viés de publicação?</w:t>
      </w:r>
    </w:p>
    <w:p>
      <w:pPr>
        <w:pStyle w:val="BodyText"/>
      </w:pPr>
      <w:r>
        <w:t xml:space="preserve">Por duas razões. Primeiro, em metanálise de proporção o erro-padrão é função da própria proporção, a raiz de p vezes 1 menos p sobre n, então estudos com prevalências mais extremas têm erro-padrão artificialmente menor; isso cria assimetria espúria no funil e invalida o teste de Egger, que foi desenhado para medidas de efeito comparativas. Segundo, os testes de assimetria exigem pelo menos dez estudos, e eu tinha seis e sete, então o teste não teria poder nem validade. O que fiz foi uma avaliação qualitativa: a busca foi ampla, em sete bases, literatura cinzenta e busca por citação, o que reduz a chance de ter perdido estudos; por outro lado, há poucos estudos, predomínio de amostras pequenas e seis relatórios não recuperados, então não posso excluir viés de relato. Como diagnóstico descritivo, apresento na Figura G3 do Anexo G a dispersão da prevalência ocular pelo tamanho amostral, e não pelo erro-padrão, justamente para evitar a assimetria espúria, sem teste formal. No GRADE não rebaixei por viés de publicação, por não haver base formal, mas registrei que isso não equivale a afirmar que o viés não existe.</w:t>
      </w:r>
    </w:p>
    <w:p>
      <w:pPr>
        <w:pStyle w:val="BlockText"/>
      </w:pPr>
      <w:r>
        <w:t xml:space="preserve">Dica: Não diga</w:t>
      </w:r>
      <w:r>
        <w:t xml:space="preserve"> </w:t>
      </w:r>
      <w:r>
        <w:t xml:space="preserve">‘</w:t>
      </w:r>
      <w:r>
        <w:t xml:space="preserve">não fiz funil porque tinha poucos estudos</w:t>
      </w:r>
      <w:r>
        <w:t xml:space="preserve">’</w:t>
      </w:r>
      <w:r>
        <w:t xml:space="preserve"> </w:t>
      </w:r>
      <w:r>
        <w:t xml:space="preserve">sozinho: a razão metodológica principal (erro-padrão depende da proporção) é o que mostra domínio. Tenha a Figura G3 na ponta da língua.</w:t>
      </w:r>
    </w:p>
    <w:p>
      <w:pPr>
        <w:pStyle w:val="FirstParagraph"/>
      </w:pPr>
      <w:r>
        <w:rPr>
          <w:bCs/>
          <w:b/>
        </w:rPr>
        <w:t xml:space="preserve">P9. [Avançada] O que é o GLMM que você rodou como sensibilidade e por que ele seria preferível para proporções com tamanhos amostrais díspares?</w:t>
      </w:r>
    </w:p>
    <w:p>
      <w:pPr>
        <w:pStyle w:val="BodyText"/>
      </w:pPr>
      <w:r>
        <w:t xml:space="preserve">O GLMM é um modelo logístico de efeitos mistos: cada estudo contribui com seus eventos e seu denominador diretamente na verossimilhança binomial, e a variação entre estudos entra como um intercepto aleatório por estudo. A diferença para o modelo principal é que o logito clássico é um modelo em dois estágios, que primeiro transforma cada proporção e estima sua variância por aproximação normal, e só depois combina; o GLMM é um estágio só, usa a distribuição binomial exata e por isso lida melhor com estudos pequenos e com proporções longe de 50%, sem precisar de correção de continuidade; isso é conhecimento geral, e a abordagem é análoga à rotina rma.glmm do metafor. Estimei por máxima verossimilhança com quadratura de Gauss-Hermite de 80 nós, porque a verossimilhança marginal de um modelo com efeito aleatório não tem solução fechada. Usei como sensibilidade porque meus tamanhos amostrais são díspares, de 81 a 196 no ocular e de 81 a 672 no respiratório, situação em que essa abordagem é recomendada. O resultado foi praticamente idêntico:</w:t>
      </w:r>
      <w:r>
        <w:t xml:space="preserve"> </w:t>
      </w:r>
      <w:r>
        <w:rPr>
          <w:bCs/>
          <w:b/>
        </w:rPr>
        <w:t xml:space="preserve">37,5% contra 37,6%</w:t>
      </w:r>
      <w:r>
        <w:t xml:space="preserve"> </w:t>
      </w:r>
      <w:r>
        <w:t xml:space="preserve">no ocular e</w:t>
      </w:r>
      <w:r>
        <w:t xml:space="preserve"> </w:t>
      </w:r>
      <w:r>
        <w:rPr>
          <w:bCs/>
          <w:b/>
        </w:rPr>
        <w:t xml:space="preserve">42,0% contra 41,7%</w:t>
      </w:r>
      <w:r>
        <w:t xml:space="preserve"> </w:t>
      </w:r>
      <w:r>
        <w:t xml:space="preserve">no respiratório. Isso me dá segurança de que a estimativa não é artefato da transformação.</w:t>
      </w:r>
    </w:p>
    <w:p>
      <w:pPr>
        <w:pStyle w:val="BlockText"/>
      </w:pPr>
      <w:r>
        <w:t xml:space="preserve">Dica: Se perguntarem</w:t>
      </w:r>
      <w:r>
        <w:t xml:space="preserve"> </w:t>
      </w:r>
      <w:r>
        <w:t xml:space="preserve">‘</w:t>
      </w:r>
      <w:r>
        <w:t xml:space="preserve">por que 80 nós</w:t>
      </w:r>
      <w:r>
        <w:t xml:space="preserve">’</w:t>
      </w:r>
      <w:r>
        <w:t xml:space="preserve">: mais nós significam integração numérica mais precisa, com custo computacional irrelevante para k = 6 (conhecimento geral). Se perguntarem o software: Python 3.13 com NumPy 2.4, SciPy 1.18 e statsmodels 0.14; código público no OSF (osf.io/jktmn).</w:t>
      </w:r>
    </w:p>
    <w:p>
      <w:pPr>
        <w:pStyle w:val="FirstParagraph"/>
      </w:pPr>
      <w:r>
        <w:rPr>
          <w:bCs/>
          <w:b/>
        </w:rPr>
        <w:t xml:space="preserve">P10. [Intermediária] O que o leave-one-out e o gráfico de Baujat mostraram? Algum estudo puxa o resultado?</w:t>
      </w:r>
    </w:p>
    <w:p>
      <w:pPr>
        <w:pStyle w:val="BodyText"/>
      </w:pPr>
      <w:r>
        <w:t xml:space="preserve">A exclusão sequencial recalcula a estimativa retirando um estudo por vez. No modelo principal, a prevalência ocular ficou entre</w:t>
      </w:r>
      <w:r>
        <w:t xml:space="preserve"> </w:t>
      </w:r>
      <w:r>
        <w:rPr>
          <w:bCs/>
          <w:b/>
        </w:rPr>
        <w:t xml:space="preserve">34,3 e 42,1%</w:t>
      </w:r>
      <w:r>
        <w:t xml:space="preserve"> </w:t>
      </w:r>
      <w:r>
        <w:t xml:space="preserve">e a respiratória entre</w:t>
      </w:r>
      <w:r>
        <w:t xml:space="preserve"> </w:t>
      </w:r>
      <w:r>
        <w:rPr>
          <w:bCs/>
          <w:b/>
        </w:rPr>
        <w:t xml:space="preserve">38,9 e 45,5%</w:t>
      </w:r>
      <w:r>
        <w:t xml:space="preserve">, ou seja, nenhum estudo isolado desloca materialmente a estimativa pontual. O extremo de 42,1% no ocular corresponde à retirada do resumo de congresso malaio, e o de 38,9% no respiratório, à retirada de Van Giersbergen, que tem a definição mais ampla e o maior n. O gráfico de Baujat complementa isso: no eixo horizontal mostra quanto cada estudo contribui para a estatística Q de heterogeneidade e, no vertical, quanto influencia a estimativa combinada; é um diagnóstico visual, que está na Figura G2. O que concluí é que a heterogeneidade do ocular não depende de um único estudo: mesmo retirando Bieniek 2022, que usa a categoria mais ampla, a estimativa foi 36,5% e o I² permaneceu em</w:t>
      </w:r>
      <w:r>
        <w:t xml:space="preserve"> </w:t>
      </w:r>
      <w:r>
        <w:rPr>
          <w:bCs/>
          <w:b/>
        </w:rPr>
        <w:t xml:space="preserve">94%</w:t>
      </w:r>
      <w:r>
        <w:t xml:space="preserve">. Já no respiratório, retirar os dois estudos de definição mais ampla baixou o I² de</w:t>
      </w:r>
      <w:r>
        <w:t xml:space="preserve"> </w:t>
      </w:r>
      <w:r>
        <w:rPr>
          <w:bCs/>
          <w:b/>
        </w:rPr>
        <w:t xml:space="preserve">91 para 61%</w:t>
      </w:r>
      <w:r>
        <w:t xml:space="preserve"> </w:t>
      </w:r>
      <w:r>
        <w:t xml:space="preserve">e a estimativa para</w:t>
      </w:r>
      <w:r>
        <w:t xml:space="preserve"> </w:t>
      </w:r>
      <w:r>
        <w:rPr>
          <w:bCs/>
          <w:b/>
        </w:rPr>
        <w:t xml:space="preserve">35,8%</w:t>
      </w:r>
      <w:r>
        <w:t xml:space="preserve">, o que sugere que a definição do desfecho explica parte relevante da heterogeneidade.</w:t>
      </w:r>
    </w:p>
    <w:p>
      <w:pPr>
        <w:pStyle w:val="BlockText"/>
      </w:pPr>
      <w:r>
        <w:t xml:space="preserve">Dica: Não descreva o Baujat como</w:t>
      </w:r>
      <w:r>
        <w:t xml:space="preserve"> </w:t>
      </w:r>
      <w:r>
        <w:t xml:space="preserve">‘</w:t>
      </w:r>
      <w:r>
        <w:t xml:space="preserve">teste</w:t>
      </w:r>
      <w:r>
        <w:t xml:space="preserve">’</w:t>
      </w:r>
      <w:r>
        <w:t xml:space="preserve">; é gráfico de diagnóstico. A mensagem é</w:t>
      </w:r>
      <w:r>
        <w:t xml:space="preserve"> </w:t>
      </w:r>
      <w:r>
        <w:t xml:space="preserve">‘</w:t>
      </w:r>
      <w:r>
        <w:t xml:space="preserve">robustez da estimativa pontual, mas heterogeneidade estrutural, não de um estudo só</w:t>
      </w:r>
      <w:r>
        <w:t xml:space="preserve">’</w:t>
      </w:r>
      <w:r>
        <w:t xml:space="preserve">. O texto não diz qual estudo corresponde ao mínimo de 34,3% nem ao máximo de 45,5%; não invente.</w:t>
      </w:r>
    </w:p>
    <w:p>
      <w:pPr>
        <w:pStyle w:val="FirstParagraph"/>
      </w:pPr>
      <w:r>
        <w:rPr>
          <w:bCs/>
          <w:b/>
        </w:rPr>
        <w:t xml:space="preserve">P11. [Avançada] O teste de subgrupo por país deu p &lt; 0,001. Por que você não conclui que o país explica a heterogeneidade?</w:t>
      </w:r>
    </w:p>
    <w:p>
      <w:pPr>
        <w:pStyle w:val="BodyText"/>
      </w:pPr>
      <w:r>
        <w:t xml:space="preserve">Porque um p pequeno em teste de subgrupo com dois ou três estudos por estrato diz pouco. O teste Q entre subgrupos, com 1 grau de liberdade, comparou</w:t>
      </w:r>
      <w:r>
        <w:t xml:space="preserve"> </w:t>
      </w:r>
      <w:r>
        <w:rPr>
          <w:bCs/>
          <w:b/>
        </w:rPr>
        <w:t xml:space="preserve">50,5%</w:t>
      </w:r>
      <w:r>
        <w:t xml:space="preserve"> </w:t>
      </w:r>
      <w:r>
        <w:t xml:space="preserve">na Turquia, com três estudos e 268 participantes, contra</w:t>
      </w:r>
      <w:r>
        <w:t xml:space="preserve"> </w:t>
      </w:r>
      <w:r>
        <w:rPr>
          <w:bCs/>
          <w:b/>
        </w:rPr>
        <w:t xml:space="preserve">19,8%</w:t>
      </w:r>
      <w:r>
        <w:t xml:space="preserve"> </w:t>
      </w:r>
      <w:r>
        <w:t xml:space="preserve">na Malásia, com dois estudos e 333 participantes; a diferença é grande e por isso o p é pequeno, mas a análise é exploratória e instável por três razões. Primeiro, o estrato da Malásia inclui um resumo de congresso e, se o retiro, sobra um único estudo, e não existe mais subgrupo. Segundo, país é um rótulo que carrega junto instrumento, definição de sintoma, uso de exaustão e forma de relatar: os dois estudos malaios são do mesmo primeiro autor e definem o desfecho como irritação ocular, enquanto dois dos três turcos usam lacrimejamento; o que parece efeito de país pode ser efeito de pergunta. Terceiro, não fiz metarregressão, porque não havia estudos suficientes por covariável. O que posso dizer é que a estratificação reduziu a heterogeneidade intragrupo, com I² de 57% na Turquia e 0% na Malásia, e isso gera a hipótese de que fatores contextuais importam. Não é evidência de moderação causal, e escrevi isso explicitamente no texto.</w:t>
      </w:r>
    </w:p>
    <w:p>
      <w:pPr>
        <w:pStyle w:val="BlockText"/>
      </w:pPr>
      <w:r>
        <w:t xml:space="preserve">Dica: Não deixe o p &lt; 0,001 falar por você: a frase-chave é</w:t>
      </w:r>
      <w:r>
        <w:t xml:space="preserve"> </w:t>
      </w:r>
      <w:r>
        <w:t xml:space="preserve">‘</w:t>
      </w:r>
      <w:r>
        <w:t xml:space="preserve">gerador de hipótese</w:t>
      </w:r>
      <w:r>
        <w:t xml:space="preserve">’</w:t>
      </w:r>
      <w:r>
        <w:t xml:space="preserve">. Se insistirem, lembre que comparação de subgrupos entre estudos é comparação ecológica (conhecimento geral) e que o Brasil ficou como estrato descritivo, com um único estudo, 43,2%.</w:t>
      </w:r>
    </w:p>
    <w:p>
      <w:pPr>
        <w:pStyle w:val="FirstParagraph"/>
      </w:pPr>
      <w:r>
        <w:rPr>
          <w:bCs/>
          <w:b/>
        </w:rPr>
        <w:t xml:space="preserve">P12. [Avançada] Com apenas 6 e 7 estudos, que consequências estatísticas isso traz e o que você fez para mitigar?</w:t>
      </w:r>
    </w:p>
    <w:p>
      <w:pPr>
        <w:pStyle w:val="BodyText"/>
      </w:pPr>
      <w:r>
        <w:t xml:space="preserve">Com k pequeno, a peça mais frágil é o tau²: ele é estimado com 5 e 6 graus de liberdade, então os pesos e o intervalo de predição herdam essa imprecisão; por isso digo no texto que o intervalo de predição é instável com menos de dez estudos. O k pequeno também impede testes de assimetria de funil, que exigem dez estudos, e metarregressão, que precisaria de vários estudos por covariável; e deixa a análise de subgrupo com dois ou três estudos por país, o que a torna exploratória. Para mitigar, primeiro escolhi métodos desenhados para esse cenário: Paule-Mandel para o tau² e Hartung-Knapp para o intervalo de confiança. Segundo, repeti a síntese com três abordagens, logito, Freeman-Tukey e GLMM, que concordaram entre</w:t>
      </w:r>
      <w:r>
        <w:t xml:space="preserve"> </w:t>
      </w:r>
      <w:r>
        <w:rPr>
          <w:bCs/>
          <w:b/>
        </w:rPr>
        <w:t xml:space="preserve">37,5 e 38,1%</w:t>
      </w:r>
      <w:r>
        <w:t xml:space="preserve"> </w:t>
      </w:r>
      <w:r>
        <w:t xml:space="preserve">no ocular. Terceiro, fiz exclusão sequencial e sensibilidades por definição do sintoma e por tipo de relatório. Quarto, fui transparente no GRADE, com certeza muito baixa. Não consegui mitigar tudo: uma sensibilidade só com estudos de baixa preocupação com viés não foi possível, porque nenhum dos sete atingiu esse nível, e uma restrita a periódicos indexados no MEDLINE deixaria menos de dois estudos por agrupamento; isso, por si só, descreve o estado da literatura.</w:t>
      </w:r>
    </w:p>
    <w:p>
      <w:pPr>
        <w:pStyle w:val="BlockText"/>
      </w:pPr>
      <w:r>
        <w:t xml:space="preserve">Dica: Transforme a limitação em argumento:</w:t>
      </w:r>
      <w:r>
        <w:t xml:space="preserve"> </w:t>
      </w:r>
      <w:r>
        <w:t xml:space="preserve">‘</w:t>
      </w:r>
      <w:r>
        <w:t xml:space="preserve">o k pequeno é um achado sobre a literatura, não só um problema da minha análise</w:t>
      </w:r>
      <w:r>
        <w:t xml:space="preserve">’</w:t>
      </w:r>
      <w:r>
        <w:t xml:space="preserve">. Postura: enumere as mitigações nos dedos (métodos, três modelos, sensibilidades, GRADE). Se já respondeu as perguntas de Paule-Mandel e Hartung-Knapp, não repita a explicação: só nomeie.</w:t>
      </w:r>
    </w:p>
    <w:p>
      <w:pPr>
        <w:pStyle w:val="FirstParagraph"/>
      </w:pPr>
      <w:r>
        <w:rPr>
          <w:bCs/>
          <w:b/>
        </w:rPr>
        <w:t xml:space="preserve">P13. [Intermediária] Os intervalos dos estudos individuais no gráfico de floresta são de Wilson, e o RR da metaplasia nasal é de Wald com IC de 2,0 a 95,8. Por que métodos diferentes, e por que esse IC é tão largo?</w:t>
      </w:r>
    </w:p>
    <w:p>
      <w:pPr>
        <w:pStyle w:val="BodyText"/>
      </w:pPr>
      <w:r>
        <w:t xml:space="preserve">São problemas diferentes. Para as proporções individuais do gráfico de floresta usei o intervalo de Wilson porque ele tem cobertura melhor do que o intervalo de Wald clássico para proporções, sobretudo com n pequeno ou proporção longe de 50%, e nunca ultrapassa os limites de 0 e 100%; isso é conhecimento geral de estatística. Esses intervalos são apenas descritivos de cada estudo; a estimativa combinada e seu IC vêm do modelo logito com Hartung-Knapp. Já para as tabelas 2 por 2 dos desfechos objetivos calculei o risco relativo e o IC na escala logarítmica pelo método de Wald, que é o padrão para razões de risco. Em Navarro 2016, foram</w:t>
      </w:r>
      <w:r>
        <w:t xml:space="preserve"> </w:t>
      </w:r>
      <w:r>
        <w:rPr>
          <w:bCs/>
          <w:b/>
        </w:rPr>
        <w:t xml:space="preserve">16 de 23</w:t>
      </w:r>
      <w:r>
        <w:t xml:space="preserve"> </w:t>
      </w:r>
      <w:r>
        <w:t xml:space="preserve">expostos com metaplasia ou hiperplasia contra</w:t>
      </w:r>
      <w:r>
        <w:t xml:space="preserve"> </w:t>
      </w:r>
      <w:r>
        <w:rPr>
          <w:bCs/>
          <w:b/>
        </w:rPr>
        <w:t xml:space="preserve">1 de 20</w:t>
      </w:r>
      <w:r>
        <w:t xml:space="preserve"> </w:t>
      </w:r>
      <w:r>
        <w:t xml:space="preserve">não expostos, RR de</w:t>
      </w:r>
      <w:r>
        <w:t xml:space="preserve"> </w:t>
      </w:r>
      <w:r>
        <w:rPr>
          <w:bCs/>
          <w:b/>
        </w:rPr>
        <w:t xml:space="preserve">13,9</w:t>
      </w:r>
      <w:r>
        <w:t xml:space="preserve">, IC de</w:t>
      </w:r>
      <w:r>
        <w:t xml:space="preserve"> </w:t>
      </w:r>
      <w:r>
        <w:rPr>
          <w:bCs/>
          <w:b/>
        </w:rPr>
        <w:t xml:space="preserve">2,0 a 95,8</w:t>
      </w:r>
      <w:r>
        <w:t xml:space="preserve">. O intervalo é tão largo porque o erro-padrão do log do RR depende do inverso do número de eventos em cada grupo, e com um único evento no grupo não exposto esse termo domina tudo: a estimativa é dirigida por uma pessoa, e o texto diz isso. Por isso tratei esse achado como imprecisão grave no GRADE, com 17 eventos no total, e não o combinei com nada: ele mostra direção e temporalidade, por ser coorte de quatro anos, mas não permite falar em magnitude.</w:t>
      </w:r>
    </w:p>
    <w:p>
      <w:pPr>
        <w:pStyle w:val="BlockText"/>
      </w:pPr>
      <w:r>
        <w:t xml:space="preserve">Dica: Tenha a aritmética pronta: (16/23)/(1/20) = 13,9; o IC de Wald reproduz 2,0-95,8 (conta minha). Para o HPV de Hu 2021: 42/469 versus 4/231, RR 5,2 (1,9-14,2), 46 eventos. Não diga que Wald é</w:t>
      </w:r>
      <w:r>
        <w:t xml:space="preserve"> </w:t>
      </w:r>
      <w:r>
        <w:t xml:space="preserve">‘</w:t>
      </w:r>
      <w:r>
        <w:t xml:space="preserve">ruim</w:t>
      </w:r>
      <w:r>
        <w:t xml:space="preserve">’</w:t>
      </w:r>
      <w:r>
        <w:t xml:space="preserve">; diga que o problema é o número de eventos, não o método. Esses RR foram calculados por você a partir das tabelas de contingência (nota da Tabela 3).</w:t>
      </w:r>
    </w:p>
    <w:p>
      <w:pPr>
        <w:pStyle w:val="FirstParagraph"/>
      </w:pPr>
      <w:r>
        <w:rPr>
          <w:bCs/>
          <w:b/>
        </w:rPr>
        <w:t xml:space="preserve">P14. [Avançada] Qual é o poder estatístico da sua metanálise? Você calculou?</w:t>
      </w:r>
    </w:p>
    <w:p>
      <w:pPr>
        <w:pStyle w:val="BodyText"/>
      </w:pPr>
      <w:r>
        <w:t xml:space="preserve">Não calculei poder, e explico por quê: a metanálise de prevalência não testa uma hipótese nula, ela estima uma quantidade; o conceito relevante é precisão, que reporto diretamente pelo intervalo de confiança, de</w:t>
      </w:r>
      <w:r>
        <w:t xml:space="preserve"> </w:t>
      </w:r>
      <w:r>
        <w:rPr>
          <w:bCs/>
          <w:b/>
        </w:rPr>
        <w:t xml:space="preserve">21,9 a 56,5%</w:t>
      </w:r>
      <w:r>
        <w:t xml:space="preserve"> </w:t>
      </w:r>
      <w:r>
        <w:t xml:space="preserve">no ocular, e que julguei no domínio de imprecisão do GRADE como grave, por ser um intervalo amplo sem limiar decisório pré-especificado. Onde o poder importa de verdade é nos testes secundários, e aí a resposta é honesta: com seis e sete estudos, testes de assimetria de funil, metarregressão e comparações de subgrupo têm poder muito baixo, e foi por isso que não fiz Egger nem metarregressão e tratei o subgrupo por país como exploratório; esse é um ponto de conhecimento geral sobre metanálise com k pequeno. Também vale separar o poder da revisão do poder dos estudos primários: a maioria deles não justificou o tamanho amostral, o que foi um dos motivos de preocupação com viés na lista de prevalência do JBI; a exceção foi Mohd Fikri Rosely e Titi Rahmawati 2019, que fizeram cálculo amostral e amostragem aleatória estratificada. Em suma, minha estimativa é precisa o suficiente para dizer que sintomas são frequentes, mas não para fixar um número, e é isso que digo no texto.</w:t>
      </w:r>
    </w:p>
    <w:p>
      <w:pPr>
        <w:pStyle w:val="BlockText"/>
      </w:pPr>
      <w:r>
        <w:t xml:space="preserve">Dica: Não tente improvisar um cálculo de poder na hora. A resposta forte é:</w:t>
      </w:r>
      <w:r>
        <w:t xml:space="preserve"> </w:t>
      </w:r>
      <w:r>
        <w:t xml:space="preserve">‘</w:t>
      </w:r>
      <w:r>
        <w:t xml:space="preserve">estimação, não teste; a precisão está no IC e no GRADE; o poder baixo é dos testes secundários, e por isso eles são exploratórios ou não foram feitos</w:t>
      </w:r>
      <w:r>
        <w:t xml:space="preserve">’</w:t>
      </w:r>
      <w:r>
        <w:t xml:space="preserve">. O manuscrito não menciona cálculo de poder em lugar nenhum; não afirme que fez.</w:t>
      </w:r>
    </w:p>
    <w:bookmarkEnd w:id="103"/>
    <w:bookmarkStart w:id="104" w:name="lente-metodologia-de-revisão-sistemática"/>
    <w:p>
      <w:pPr>
        <w:pStyle w:val="Heading3"/>
      </w:pPr>
      <w:r>
        <w:t xml:space="preserve">Lente: Metodologia de revisão sistemática</w:t>
      </w:r>
    </w:p>
    <w:p>
      <w:pPr>
        <w:pStyle w:val="FirstParagraph"/>
      </w:pPr>
      <w:r>
        <w:rPr>
          <w:bCs/>
          <w:b/>
        </w:rPr>
        <w:t xml:space="preserve">P15. [Fácil] Você afirma que a revisão segue o PRISMA 2020. O que isso significa na prática, e você consegue percorrer o fluxograma de seleção com os números?</w:t>
      </w:r>
    </w:p>
    <w:p>
      <w:pPr>
        <w:pStyle w:val="BodyText"/>
      </w:pPr>
      <w:r>
        <w:t xml:space="preserve">Seguir o PRISMA 2020 significa relatar os 27 itens do checklist de Page et al. (2021); o checklist preenchido está no Anexo H, com a localização de cada item no texto, e também segui as Diretrizes Metodológicas do Ministério da Saúde (2014). O fluxograma (Figura 1) parte de 16.707 registros das sete bases eletrônicas mais 50 da literatura cinzenta, 16.757 no total; 8 não puderam ser exportados e 16.749 passaram pela deduplicação automatizada por DOI, identificador PubMed e similaridade de título (Zotero, Rayyan e OpenAlex), que removeu 5.839 duplicatas e deixou 10.910 registros únicos. Eu mesmo triei os 10.910 por título e resumo, excluí 10.882 e encaminhei 28 para texto completo; a busca por citação avaliou 443 referências e acrescentou 4, totalizando 32 relatórios buscados. Seis não foram recuperados, 26 foram avaliados na íntegra, 4 foram excluídos (1 resumo de congresso sem dados extraíveis e 3 por população ou contexto inelegível) e 22 relatórios foram incluídos. Os motivos de cada exclusão e os não recuperados estão no Anexo C; as estratégias completas, no Anexo A.</w:t>
      </w:r>
    </w:p>
    <w:p>
      <w:pPr>
        <w:pStyle w:val="BlockText"/>
      </w:pPr>
      <w:r>
        <w:t xml:space="preserve">Dica: Decore a espinha dorsal do fluxo: 16.757 → 10.910 → 32 → 26 → 22. Sobre os 8 não exportados, diga apenas o que consta (não puderam ser exportados e foram contabilizados por transparência); se souber o motivo técnico, explique em uma frase. Nunca diga</w:t>
      </w:r>
      <w:r>
        <w:t xml:space="preserve"> </w:t>
      </w:r>
      <w:r>
        <w:t xml:space="preserve">‘</w:t>
      </w:r>
      <w:r>
        <w:t xml:space="preserve">seguimos o PRISMA</w:t>
      </w:r>
      <w:r>
        <w:t xml:space="preserve">’</w:t>
      </w:r>
      <w:r>
        <w:t xml:space="preserve"> </w:t>
      </w:r>
      <w:r>
        <w:t xml:space="preserve">sem saber onde está o checklist (Anexo H) e que o item 24 trata do registro no PROSPERO.</w:t>
      </w:r>
    </w:p>
    <w:p>
      <w:pPr>
        <w:pStyle w:val="FirstParagraph"/>
      </w:pPr>
      <w:r>
        <w:rPr>
          <w:bCs/>
          <w:b/>
        </w:rPr>
        <w:t xml:space="preserve">P16. [Difícil] O protocolo foi registrado no PROSPERO, mas vários pontos foram decididos depois. Quais foram e como você garante que essas decisões não foram guiadas pelos resultados?</w:t>
      </w:r>
    </w:p>
    <w:p>
      <w:pPr>
        <w:pStyle w:val="BodyText"/>
      </w:pPr>
      <w:r>
        <w:t xml:space="preserve">O registro CRD420251238727 foi feito antes da extração de dados e faz as vezes de protocolo, e a seção</w:t>
      </w:r>
      <w:r>
        <w:t xml:space="preserve"> </w:t>
      </w:r>
      <w:r>
        <w:t xml:space="preserve">‘</w:t>
      </w:r>
      <w:r>
        <w:t xml:space="preserve">Decisões posteriores ao registro</w:t>
      </w:r>
      <w:r>
        <w:t xml:space="preserve">’</w:t>
      </w:r>
      <w:r>
        <w:t xml:space="preserve"> </w:t>
      </w:r>
      <w:r>
        <w:t xml:space="preserve">lista o que foi definido depois: a delimitação da população como equipe de centro cirúrgico; o sintoma ocular como principal e o respiratório como exploratório, pela maior variação de definição; o modelo logito com Hartung-Knapp como principal; um relatório por desfecho para publicações sobrepostas; o caráter exploratório das análises por país e de influência; e a admissão de resumos de congresso com dados suficientes, com preocupação alta com viés. Duas decisões vieram durante a análise: a regra do sintoma-índice (o mais específico para a via, como lacrimejamento ou tosse) e as análises de sensibilidade restritas a definições específicas do sintoma. Minha defesa tem dois pilares. Primeiro, são decisões de condução da síntese, tomadas de forma independente dos resultados de cada estudo individual, e não escolhas feitas olhando qual estimativa ficava melhor. Segundo, eu as declaro como posteriores, em vez de apresentá-las como pré-especificadas, que é o que o item 24 do PRISMA 2020 pede. E a escolha de modelo não dirigiu a conclusão: logito com Hartung-Knapp, Freeman-Tukey e GLMM deram 37,6%, 38,1% e 37,5% para o ocular, e o leave-one-out variou só de 34,3% a 42,1%.</w:t>
      </w:r>
    </w:p>
    <w:p>
      <w:pPr>
        <w:pStyle w:val="BlockText"/>
      </w:pPr>
      <w:r>
        <w:t xml:space="preserve">Dica: Não diga que</w:t>
      </w:r>
      <w:r>
        <w:t xml:space="preserve"> </w:t>
      </w:r>
      <w:r>
        <w:t xml:space="preserve">‘</w:t>
      </w:r>
      <w:r>
        <w:t xml:space="preserve">estava tudo no protocolo</w:t>
      </w:r>
      <w:r>
        <w:t xml:space="preserve">’</w:t>
      </w:r>
      <w:r>
        <w:t xml:space="preserve">: o avaliador pode abrir o PROSPERO. A força está em</w:t>
      </w:r>
      <w:r>
        <w:t xml:space="preserve"> </w:t>
      </w:r>
      <w:r>
        <w:t xml:space="preserve">‘</w:t>
      </w:r>
      <w:r>
        <w:t xml:space="preserve">eu declaro o que mudou e por quê</w:t>
      </w:r>
      <w:r>
        <w:t xml:space="preserve">’</w:t>
      </w:r>
      <w:r>
        <w:t xml:space="preserve">. Se insistirem no motivo de o ocular ser o principal, responda pela homogeneidade da definição (irritação ou lacrimejamento) contra a heterogeneidade respiratória (tosse isolada em uns, sintomas de vias aéreas superiores em outros). Antecipe a réplica que está nas suas próprias Limitações: o maior inquérito (Van Giersbergen, n = 672) não entrou no ocular por falta de numerador e denominador extraíveis, de modo que o desfecho principal se apoia em 756 participantes e o exploratório em 1.428; assuma isso como fragilidade declarada, não como surpresa.</w:t>
      </w:r>
    </w:p>
    <w:p>
      <w:pPr>
        <w:pStyle w:val="FirstParagraph"/>
      </w:pPr>
      <w:r>
        <w:rPr>
          <w:bCs/>
          <w:b/>
        </w:rPr>
        <w:t xml:space="preserve">P17. [Médio] Você usa PECO e CoCoPop ao mesmo tempo. Não é incoerente? Qual estrutura guiou o quê?</w:t>
      </w:r>
    </w:p>
    <w:p>
      <w:pPr>
        <w:pStyle w:val="BodyText"/>
      </w:pPr>
      <w:r>
        <w:t xml:space="preserve">Não é incoerente, porque a revisão tem uma síntese em camadas com duas perguntas de naturezas diferentes. O PECO (População: equipe de centro cirúrgico; Exposição: fumaça gerada por eletrocautério, laser e bisturi ultrassônico; Comparador: não expostos, minimamente expostos ou com medidas de proteção; Outcome: efeitos à saúde) orientou a busca e a síntese dos desfechos objetivos comparativos, como espirometria, HPV nasal, metaplasia e biomarcadores urinários. Já a metanálise de prevalência não tem comparador, porque estima frequência e não efeito, e para isso o manual do JBI (Aromataris; Munn, 2020) e Munn et al. (2015) recomendam o CoCoPop: Condição (sintomas oculares e respiratórios autorrelatados), Contexto (centro cirúrgico com dispositivos de energia) e População (equipe de centro cirúrgico). Usar os dois é justamente a forma de deixar claro que os 37,6% de sintoma ocular são uma prevalência em expostos, e não um excesso atribuível à fumaça. O comparador não sumiu: está nos cinco estudos com grupo não exposto, quatro deles com medida de efeito na Tabela 3.</w:t>
      </w:r>
    </w:p>
    <w:p>
      <w:pPr>
        <w:pStyle w:val="BlockText"/>
      </w:pPr>
      <w:r>
        <w:t xml:space="preserve">Dica: Frase para repetir:</w:t>
      </w:r>
      <w:r>
        <w:t xml:space="preserve"> </w:t>
      </w:r>
      <w:r>
        <w:t xml:space="preserve">‘</w:t>
      </w:r>
      <w:r>
        <w:t xml:space="preserve">o PECO guia a pergunta de efeito; o CoCoPop, a pergunta de frequência</w:t>
      </w:r>
      <w:r>
        <w:t xml:space="preserve">’</w:t>
      </w:r>
      <w:r>
        <w:t xml:space="preserve">. Se o avaliador perguntar por que não PICO, diga que não há intervenção, e sim exposição ocupacional, por isso o</w:t>
      </w:r>
      <w:r>
        <w:t xml:space="preserve"> </w:t>
      </w:r>
      <w:r>
        <w:t xml:space="preserve">‘</w:t>
      </w:r>
      <w:r>
        <w:t xml:space="preserve">E</w:t>
      </w:r>
      <w:r>
        <w:t xml:space="preserve">’</w:t>
      </w:r>
      <w:r>
        <w:t xml:space="preserve">.</w:t>
      </w:r>
    </w:p>
    <w:p>
      <w:pPr>
        <w:pStyle w:val="FirstParagraph"/>
      </w:pPr>
      <w:r>
        <w:rPr>
          <w:bCs/>
          <w:b/>
        </w:rPr>
        <w:t xml:space="preserve">P18. [Médio] Sua estratégia tem dois blocos e nenhum bloco de desfecho, mas aplicou o filtro</w:t>
      </w:r>
      <w:r>
        <w:rPr>
          <w:bCs/>
          <w:b/>
        </w:rPr>
        <w:t xml:space="preserve"> </w:t>
      </w:r>
      <w:r>
        <w:rPr>
          <w:bCs/>
          <w:b/>
        </w:rPr>
        <w:t xml:space="preserve">‘</w:t>
      </w:r>
      <w:r>
        <w:rPr>
          <w:bCs/>
          <w:b/>
        </w:rPr>
        <w:t xml:space="preserve">humans</w:t>
      </w:r>
      <w:r>
        <w:rPr>
          <w:bCs/>
          <w:b/>
        </w:rPr>
        <w:t xml:space="preserve">’</w:t>
      </w:r>
      <w:r>
        <w:rPr>
          <w:bCs/>
          <w:b/>
        </w:rPr>
        <w:t xml:space="preserve"> </w:t>
      </w:r>
      <w:r>
        <w:rPr>
          <w:bCs/>
          <w:b/>
        </w:rPr>
        <w:t xml:space="preserve">no PubMed e na Embase. Explique a lógica e o risco desse filtro.</w:t>
      </w:r>
    </w:p>
    <w:p>
      <w:pPr>
        <w:pStyle w:val="BodyText"/>
      </w:pPr>
      <w:r>
        <w:t xml:space="preserve">A estratégia foi desenhada para sensibilidade máxima: bloco de população (equipe cirúrgica, com MeSH como</w:t>
      </w:r>
      <w:r>
        <w:t xml:space="preserve"> </w:t>
      </w:r>
      <w:r>
        <w:t xml:space="preserve">‘</w:t>
      </w:r>
      <w:r>
        <w:t xml:space="preserve">Surgeons</w:t>
      </w:r>
      <w:r>
        <w:t xml:space="preserve">’</w:t>
      </w:r>
      <w:r>
        <w:t xml:space="preserve">,</w:t>
      </w:r>
      <w:r>
        <w:t xml:space="preserve"> </w:t>
      </w:r>
      <w:r>
        <w:t xml:space="preserve">‘</w:t>
      </w:r>
      <w:r>
        <w:t xml:space="preserve">Operating Room Nursing</w:t>
      </w:r>
      <w:r>
        <w:t xml:space="preserve">’</w:t>
      </w:r>
      <w:r>
        <w:t xml:space="preserve"> </w:t>
      </w:r>
      <w:r>
        <w:t xml:space="preserve">e</w:t>
      </w:r>
      <w:r>
        <w:t xml:space="preserve"> </w:t>
      </w:r>
      <w:r>
        <w:t xml:space="preserve">‘</w:t>
      </w:r>
      <w:r>
        <w:t xml:space="preserve">Occupational Exposure</w:t>
      </w:r>
      <w:r>
        <w:t xml:space="preserve">’</w:t>
      </w:r>
      <w:r>
        <w:t xml:space="preserve">, mais termos livres) E bloco de exposição (fumaça cirúrgica e dispositivos de energia, com operadores de proximidade: NEAR/5 na Web of Science e no CENTRAL, W/5 no Scopus), sem bloco de desfecho e sem restrição de data ou idioma. Não usei bloco de desfecho porque os efeitos à saúde são muito variados (sintomas, espirometria, HPV, biomarcadores) e qualquer lista de termos de desfecho restringiria a recuperação justamente onde a literatura é mais dispersa. O preço foi volume: 16.757 registros para 22 relatórios incluídos. O filtro</w:t>
      </w:r>
      <w:r>
        <w:t xml:space="preserve"> </w:t>
      </w:r>
      <w:r>
        <w:t xml:space="preserve">‘</w:t>
      </w:r>
      <w:r>
        <w:t xml:space="preserve">humans</w:t>
      </w:r>
      <w:r>
        <w:t xml:space="preserve">’</w:t>
      </w:r>
      <w:r>
        <w:t xml:space="preserve"> </w:t>
      </w:r>
      <w:r>
        <w:t xml:space="preserve">foi aplicado só no PubMed e na Embase; a função de um filtro desse tipo é afastar estudos in vitro e em animais, que são critério de exclusão da revisão (a finalidade não está escrita no manuscrito; é conhecimento geral sobre o filtro). Reconheço no Anexo A que ele pode deixar de recuperar registros muito recentes ainda sem indexação, o que registro como limitação mínima, atenuada porque as outras cinco bases foram buscadas sem o filtro e a busca por citação cobre o período recente. Estratégias, datas e resultados por base estão nos Anexos A e B.</w:t>
      </w:r>
    </w:p>
    <w:p>
      <w:pPr>
        <w:pStyle w:val="BlockText"/>
      </w:pPr>
      <w:r>
        <w:t xml:space="preserve">Dica: Tenha os números por base: PubMed 4.522, Embase 4.660, Web of Science 3.629, Scopus 2.639, BVS 1.229, SciELO 28, CENTRAL 0, Google Scholar 50, CAPES 0. Se perguntarem por que o CENTRAL deu zero, responda que é base de ensaios clínicos e a revisão só incluiu observacionais, resultado esperado e declarado no Anexo B.</w:t>
      </w:r>
    </w:p>
    <w:p>
      <w:pPr>
        <w:pStyle w:val="FirstParagraph"/>
      </w:pPr>
      <w:r>
        <w:rPr>
          <w:bCs/>
          <w:b/>
        </w:rPr>
        <w:t xml:space="preserve">P19. [Fácil] A busca foi sem filtro de idioma, mas só foram elegíveis estudos em português, inglês e espanhol. Isso não é um viés de idioma disfarçado?</w:t>
      </w:r>
    </w:p>
    <w:p>
      <w:pPr>
        <w:pStyle w:val="BodyText"/>
      </w:pPr>
      <w:r>
        <w:t xml:space="preserve">São duas etapas diferentes, e assumo a limitação de forma explícita nas Limitações. Na busca não apliquei nenhum filtro de idioma, para que a triagem pudesse enxergar tudo o que existe e para que a restrição ficasse registrada na elegibilidade, e não escondida na recuperação. Na elegibilidade, considerei estudos em português, inglês e espanhol, o que pode ter excluído evidência publicada em outros idiomas, e isso está escrito no texto. O manuscrito não declara o motivo da restrição; o que posso dizer com franqueza é que foram os idiomas em que eu, como revisor único, lia métodos e extraía numerador e denominador com segurança, sem depender de tradução automática. Na leitura de texto completo, nenhum dos quatro excluídos foi por idioma: os motivos foram um resumo de congresso sem dados e três por população ou contexto inelegível. E a busca incluiu SciELO, BVS/LILACS e Google Scholar com termos em português e espanhol, como</w:t>
      </w:r>
      <w:r>
        <w:t xml:space="preserve"> </w:t>
      </w:r>
      <w:r>
        <w:t xml:space="preserve">‘</w:t>
      </w:r>
      <w:r>
        <w:t xml:space="preserve">fumaça cirúrgica</w:t>
      </w:r>
      <w:r>
        <w:t xml:space="preserve">’</w:t>
      </w:r>
      <w:r>
        <w:t xml:space="preserve">,</w:t>
      </w:r>
      <w:r>
        <w:t xml:space="preserve"> </w:t>
      </w:r>
      <w:r>
        <w:t xml:space="preserve">‘</w:t>
      </w:r>
      <w:r>
        <w:t xml:space="preserve">humo quirúrgico</w:t>
      </w:r>
      <w:r>
        <w:t xml:space="preserve">’</w:t>
      </w:r>
      <w:r>
        <w:t xml:space="preserve"> </w:t>
      </w:r>
      <w:r>
        <w:t xml:space="preserve">e</w:t>
      </w:r>
      <w:r>
        <w:t xml:space="preserve"> </w:t>
      </w:r>
      <w:r>
        <w:t xml:space="preserve">‘</w:t>
      </w:r>
      <w:r>
        <w:t xml:space="preserve">pluma cirúrgica</w:t>
      </w:r>
      <w:r>
        <w:t xml:space="preserve">’</w:t>
      </w:r>
      <w:r>
        <w:t xml:space="preserve">, o que amplia a cobertura da literatura latino-americana.</w:t>
      </w:r>
    </w:p>
    <w:p>
      <w:pPr>
        <w:pStyle w:val="BlockText"/>
      </w:pPr>
      <w:r>
        <w:t xml:space="preserve">Dica: O manuscrito não explicita o motivo da restrição a três idiomas; a resposta usa o motivo mais plausível (capacidade de leitura do revisor único). Confirme se foi esse antes da apresentação e, se houve registros excluídos por idioma na triagem de título e resumo, verifique no Rayyan quantos foram, porque o manuscrito não desagrega esse número. Não diga</w:t>
      </w:r>
      <w:r>
        <w:t xml:space="preserve"> </w:t>
      </w:r>
      <w:r>
        <w:t xml:space="preserve">‘</w:t>
      </w:r>
      <w:r>
        <w:t xml:space="preserve">nenhum estudo foi excluído por idioma</w:t>
      </w:r>
      <w:r>
        <w:t xml:space="preserve">’</w:t>
      </w:r>
      <w:r>
        <w:t xml:space="preserve"> </w:t>
      </w:r>
      <w:r>
        <w:t xml:space="preserve">sem essa verificação; diga</w:t>
      </w:r>
      <w:r>
        <w:t xml:space="preserve"> </w:t>
      </w:r>
      <w:r>
        <w:t xml:space="preserve">‘</w:t>
      </w:r>
      <w:r>
        <w:t xml:space="preserve">nenhum na leitura de texto completo</w:t>
      </w:r>
      <w:r>
        <w:t xml:space="preserve">’</w:t>
      </w:r>
      <w:r>
        <w:t xml:space="preserve">.</w:t>
      </w:r>
    </w:p>
    <w:p>
      <w:pPr>
        <w:pStyle w:val="FirstParagraph"/>
      </w:pPr>
      <w:r>
        <w:rPr>
          <w:bCs/>
          <w:b/>
        </w:rPr>
        <w:t xml:space="preserve">P20. [Médio] Como foram a busca em literatura cinzenta e a busca por citação, e o que elas acrescentaram de fato?</w:t>
      </w:r>
    </w:p>
    <w:p>
      <w:pPr>
        <w:pStyle w:val="BodyText"/>
      </w:pPr>
      <w:r>
        <w:t xml:space="preserve">Na literatura cinzenta usei o Google Scholar e o Catálogo de Teses e Dissertações da CAPES. No Scholar executei quatro estratégias curtas, em inglês, português e espanhol, e examinei os 50 primeiros resultados de cada uma: 200 avaliados, dos quais 50 registros únicos ficaram após deduplicação interna, e são esses 50 que entram no fluxograma. O Catálogo CAPES não retornou registros elegíveis, embora a tese de Canicoba (2025) tenha sido recuperada por outras vias (base eletrônica e busca por citação), o que registro no Anexo B como indício de cobertura incompleta dessa fonte. A busca por citação foi automatizada pelo OpenAlex nos dois sentidos, reversa (listas de referências dos incluídos) e direta (publicações que os citam); avaliou 443 referências e acrescentou 4 relatórios para texto completo, todos recuperados. Tudo foi executado em 9 de julho de 2026, data da última busca nas bases. O ganho concreto foi sensibilidade num tema com muita publicação em periódicos de indexação limitada, e é isso que sustenta, na apreciação do viés de relato, que a busca foi ampla.</w:t>
      </w:r>
    </w:p>
    <w:p>
      <w:pPr>
        <w:pStyle w:val="BlockText"/>
      </w:pPr>
      <w:r>
        <w:t xml:space="preserve">Dica: Se perguntarem</w:t>
      </w:r>
      <w:r>
        <w:t xml:space="preserve"> </w:t>
      </w:r>
      <w:r>
        <w:t xml:space="preserve">‘</w:t>
      </w:r>
      <w:r>
        <w:t xml:space="preserve">por que só 50 resultados por estratégia no Scholar?</w:t>
      </w:r>
      <w:r>
        <w:t xml:space="preserve">’</w:t>
      </w:r>
      <w:r>
        <w:t xml:space="preserve">, diga que é prática comum porque a ordenação por relevância degrada rapidamente (conhecimento geral) e que o número está relatado com transparência no Anexo B. Não diga que o OpenAlex</w:t>
      </w:r>
      <w:r>
        <w:t xml:space="preserve"> </w:t>
      </w:r>
      <w:r>
        <w:t xml:space="preserve">‘</w:t>
      </w:r>
      <w:r>
        <w:t xml:space="preserve">fez a busca por citação sozinho</w:t>
      </w:r>
      <w:r>
        <w:t xml:space="preserve">’</w:t>
      </w:r>
      <w:r>
        <w:t xml:space="preserve">: ele recuperou as referências; a triagem das 443 foi sua.</w:t>
      </w:r>
    </w:p>
    <w:p>
      <w:pPr>
        <w:pStyle w:val="FirstParagraph"/>
      </w:pPr>
      <w:r>
        <w:rPr>
          <w:bCs/>
          <w:b/>
        </w:rPr>
        <w:t xml:space="preserve">P21. [Difícil] Triagem, extração, risco de viés e GRADE por um único revisor. O padrão mínimo de uma revisão sistemática é a avaliação independente em duplicata. Por que a banca deveria confiar nos seus resultados?</w:t>
      </w:r>
    </w:p>
    <w:p>
      <w:pPr>
        <w:pStyle w:val="BodyText"/>
      </w:pPr>
      <w:r>
        <w:t xml:space="preserve">Essa é a principal limitação metodológica do trabalho, e eu a declaro no resumo, nos métodos, no Anexo E e nas limitações, em vez de escondê-la. O contexto é uma iniciação científica voluntária, sem bolsa, e fui o único revisor em todas as etapas: triei individualmente os 10.910 registros únicos e fiz a leitura integral, a extração, o JBI e o GRADE. O que fiz para mitigar: registrei o protocolo no PROSPERO antes da extração; usei a classificação automatizada só para ordenar a leitura, nunca para decidir; registrei cada decisão com justificativa, com motivos de exclusão no Anexo C, extração no Anexo D, JBI item a item no Anexo E e GRADE no Anexo F; e publiquei planilhas e código no OSF (osf.io/jktmn), para que qualquer pessoa audite e reproduza. Os coautores fizeram interpretação dos resultados e revisão crítica, e a orientadora, supervisão metodológica, mas reconheço que isso não substitui a duplicata independente: estudos metodológicos mostram que a triagem simples perde uma fração não desprezível dos estudos elegíveis (conhecimento geral). Por isso não atenuei nenhum julgamento: nenhum dos sete estudos das metanálises alcançou baixa preocupação com viés e a certeza ficou muito baixa em todos os desfechos.</w:t>
      </w:r>
    </w:p>
    <w:p>
      <w:pPr>
        <w:pStyle w:val="BlockText"/>
      </w:pPr>
      <w:r>
        <w:t xml:space="preserve">Dica: Não se defenda com</w:t>
      </w:r>
      <w:r>
        <w:t xml:space="preserve"> </w:t>
      </w:r>
      <w:r>
        <w:t xml:space="preserve">‘</w:t>
      </w:r>
      <w:r>
        <w:t xml:space="preserve">fiz com muito cuidado</w:t>
      </w:r>
      <w:r>
        <w:t xml:space="preserve">’</w:t>
      </w:r>
      <w:r>
        <w:t xml:space="preserve">. Defenda-se com auditabilidade:</w:t>
      </w:r>
      <w:r>
        <w:t xml:space="preserve"> </w:t>
      </w:r>
      <w:r>
        <w:t xml:space="preserve">‘</w:t>
      </w:r>
      <w:r>
        <w:t xml:space="preserve">cada decisão está registrada e é verificável nos Anexos C a F e no OSF</w:t>
      </w:r>
      <w:r>
        <w:t xml:space="preserve">’</w:t>
      </w:r>
      <w:r>
        <w:t xml:space="preserve">. Se o avaliador citar Waffenschmidt et al. (2019) sobre perda de estudos na triagem simples (conhecimento geral), concorde sem discutir e volte à transparência e à certeza muito baixa.</w:t>
      </w:r>
    </w:p>
    <w:p>
      <w:pPr>
        <w:pStyle w:val="FirstParagraph"/>
      </w:pPr>
      <w:r>
        <w:rPr>
          <w:bCs/>
          <w:b/>
        </w:rPr>
        <w:t xml:space="preserve">P22. [Médio-difícil] Você declarou um script de palavras-chave e um assistente de IA (Claude Opus) na triagem. O que exatamente essas ferramentas fizeram, e como garante que não decidiram elegibilidade?</w:t>
      </w:r>
    </w:p>
    <w:p>
      <w:pPr>
        <w:pStyle w:val="BodyText"/>
      </w:pPr>
      <w:r>
        <w:t xml:space="preserve">Duas ferramentas, duas funções, ambas operacionais. O script em Python, com regras baseadas em palavras-chave alinhadas aos critérios de elegibilidade e disponível no repositório, apenas ordenou a fila de leitura dos 10.910 registros, colocando primeiro os mais prováveis; não houve corte, e li todos. O assistente baseado em modelo de linguagem (Claude Opus, da Anthropic, usado entre julho e agosto de 2026) apoiou a priorização da ordem de leitura de forma complementar ao script, a leitura assistida de resumos e a organização do fluxo de trabalho, em abordagem análoga às ferramentas de revisão assistida por IA descritas por Van de Schoot et al. (2021). Nenhuma das duas decidiu elegibilidade: inclusão, exclusão, extração, interpretação e redação foram minhas, e nenhum conteúdo gerado por IA entrou no texto sem verificação humana. Os registros de uso estão no repositório do OSF e segui a Política de Integridade do CNPq (Portaria 2.664, de 6 de março de 2026), com declaração em seção própria dos Métodos e nas Declarações. A priorização me fez ler mais cedo o que era relevante, mas a proporção de registros avaliados por humano continuou sendo 100%.</w:t>
      </w:r>
    </w:p>
    <w:p>
      <w:pPr>
        <w:pStyle w:val="BlockText"/>
      </w:pPr>
      <w:r>
        <w:t xml:space="preserve">Dica: Diferencie</w:t>
      </w:r>
      <w:r>
        <w:t xml:space="preserve"> </w:t>
      </w:r>
      <w:r>
        <w:t xml:space="preserve">‘</w:t>
      </w:r>
      <w:r>
        <w:t xml:space="preserve">priorização</w:t>
      </w:r>
      <w:r>
        <w:t xml:space="preserve">’</w:t>
      </w:r>
      <w:r>
        <w:t xml:space="preserve"> </w:t>
      </w:r>
      <w:r>
        <w:t xml:space="preserve">(ordem de leitura) de</w:t>
      </w:r>
      <w:r>
        <w:t xml:space="preserve"> </w:t>
      </w:r>
      <w:r>
        <w:t xml:space="preserve">‘</w:t>
      </w:r>
      <w:r>
        <w:t xml:space="preserve">classificação automática com corte</w:t>
      </w:r>
      <w:r>
        <w:t xml:space="preserve">’</w:t>
      </w:r>
      <w:r>
        <w:t xml:space="preserve"> </w:t>
      </w:r>
      <w:r>
        <w:t xml:space="preserve">(parar de ler em algum ponto). Você fez a primeira. Nunca diga</w:t>
      </w:r>
      <w:r>
        <w:t xml:space="preserve"> </w:t>
      </w:r>
      <w:r>
        <w:t xml:space="preserve">‘</w:t>
      </w:r>
      <w:r>
        <w:t xml:space="preserve">a IA fez a triagem</w:t>
      </w:r>
      <w:r>
        <w:t xml:space="preserve">’</w:t>
      </w:r>
      <w:r>
        <w:t xml:space="preserve">. Se perguntarem se a IA leu os textos completos para extrair dados, responda com o que está no manuscrito: a extração foi humana, em planilha padronizada, sem solicitação de dados adicionais aos autores.</w:t>
      </w:r>
    </w:p>
    <w:p>
      <w:pPr>
        <w:pStyle w:val="FirstParagraph"/>
      </w:pPr>
      <w:r>
        <w:rPr>
          <w:bCs/>
          <w:b/>
        </w:rPr>
        <w:t xml:space="preserve">P23. [Médio] Seis relatórios potencialmente elegíveis não foram recuperados. Quais são, o que você tentou e qual o impacto possível?</w:t>
      </w:r>
    </w:p>
    <w:p>
      <w:pPr>
        <w:pStyle w:val="BodyText"/>
      </w:pPr>
      <w:r>
        <w:t xml:space="preserve">Os seis estão no Anexo C, com base de origem: Navarro-Meza et al. 2013 (sintomas respiratórios, México; via SciELO), Ekicier Acar e Özdemir Yıldız 2024 (olho seco; Scopus e Web of Science), Gjini et al. 2025 (equipe de sala de operação, Itália; Scopus), Gezer e Bozkul 2024 (Turquia; PubMed), um relatório de práticas de proteção de 2023 (Google Scholar) e Haddadin et al. 2021 (aerossol pediátrico e SARS-CoV-2; PubMed). Para todos, tentei acesso institucional, repositórios e bases de preprints, páginas dos autores, comutação bibliográfica e contato com os autores correspondentes quando havia endereço, sem sucesso. Os quatro relatórios da busca por citação foram recuperados; os não recuperados vieram das bases eletrônicas e da literatura cinzenta. O impacto é potencialmente relevante e eu o discuto: dois são inquéritos de sintomas (Navarro-Meza 2013 e Gjini 2025) e um é estudo objetivo de olho seco, então sua ausência pode ter afetado a estimativa de prevalência e é uma das razões pelas quais não pude excluir viés de relato. Como não sei a direção do efeito, não tento adivinhar: registro como limitação e como item para uma atualização da revisão.</w:t>
      </w:r>
    </w:p>
    <w:p>
      <w:pPr>
        <w:pStyle w:val="BlockText"/>
      </w:pPr>
      <w:r>
        <w:t xml:space="preserve">Dica: Não diga</w:t>
      </w:r>
      <w:r>
        <w:t xml:space="preserve"> </w:t>
      </w:r>
      <w:r>
        <w:t xml:space="preserve">‘</w:t>
      </w:r>
      <w:r>
        <w:t xml:space="preserve">esses seis provavelmente não mudariam nada</w:t>
      </w:r>
      <w:r>
        <w:t xml:space="preserve">’</w:t>
      </w:r>
      <w:r>
        <w:t xml:space="preserve">: você não os leu. Se perguntarem por que Haddadin 2021 não foi descartado pelo título, explique o princípio geral da triagem: na dúvida, o registro vai para texto completo, e sem o texto não há como julgar.</w:t>
      </w:r>
    </w:p>
    <w:p>
      <w:pPr>
        <w:pStyle w:val="FirstParagraph"/>
      </w:pPr>
      <w:r>
        <w:rPr>
          <w:bCs/>
          <w:b/>
        </w:rPr>
        <w:t xml:space="preserve">P24. [Médio] Seus critérios dizem que resumos de congresso foram excluídos, mas há um na metanálise. Como justifica?</w:t>
      </w:r>
    </w:p>
    <w:p>
      <w:pPr>
        <w:pStyle w:val="BodyText"/>
      </w:pPr>
      <w:r>
        <w:t xml:space="preserve">A regra tinha uma exceção explícita nos critérios de elegibilidade: resumos de congresso foram excluídos, salvo quando informassem população, cenário, definição do desfecho, número de eventos e denominador necessários para calcular a prevalência; nesse caso entravam com preocupação alta com viés, por relato incompleto, e com análise de sensibilidade. Dois resumos chegaram à leitura integral e a regra foi aplicada aos dois: o de Kofoed, Sand e Forslund (2014), sobre HPV oral e nasal, foi excluído por não trazer população, eventos e denominador; o de Mohd Fikri Rosely (2022), do Hospital Kuala Lumpur, trazia 196 participantes com 38 casos de irritação ocular (19,4%), 72 de irritação de vias aéreas superiores (36,7%) e 109 com qualquer efeito agudo (55,6%), e foi incluído. Classifiquei-o como alta preocupação porque o resumo não permite julgar amostragem, validade e padronização da mensuração e taxa de resposta. Na análise de sensibilidade sem ele, a prevalência ocular foi 42,1% (IC95% 24,8–61,7; I² 89%; cinco estudos) e a respiratória 42,4% (IC95% 28,7–57,5; I² 90%; seis estudos), sem alterar a interpretação. O custo de excluí-lo a priori seria deixar o estrato da Malásia com um único estudo.</w:t>
      </w:r>
    </w:p>
    <w:p>
      <w:pPr>
        <w:pStyle w:val="BlockText"/>
      </w:pPr>
      <w:r>
        <w:t xml:space="preserve">Dica: Note que, sem o resumo, a estimativa ocular sobe de 37,6% para 42,1%, porque ele é um dos dois estudos malaios de baixa prevalência (19,4% e 20,4%). Se o avaliador apontar isso, concorde na hora: é exatamente por isso que a análise por país é exploratória e instável.</w:t>
      </w:r>
    </w:p>
    <w:p>
      <w:pPr>
        <w:pStyle w:val="FirstParagraph"/>
      </w:pPr>
      <w:r>
        <w:rPr>
          <w:bCs/>
          <w:b/>
        </w:rPr>
        <w:t xml:space="preserve">P25. [Difícil] Você tem 22 relatórios, mas só 6 e 7 amostras nas metanálises. Como identificou e tratou a sobreposição amostral, e por que Bieniek et al. 2022 representa o cluster brasileiro?</w:t>
      </w:r>
    </w:p>
    <w:p>
      <w:pPr>
        <w:pStyle w:val="BodyText"/>
      </w:pPr>
      <w:r>
        <w:t xml:space="preserve">Os 22 relatórios não são 22 populações: sete publicações de um mesmo grupo do Paraná (Aranha 2018, Saito 2019, Bieniek 2022, Bieniek 2025, Lopes 2025, Stanganelli 2019 e Stanganelli Caus 2025) originam-se de coortes com sobreposição amostral parcial. A regra, definida antes da síntese, foi representar o cluster em cada agrupamento pela publicação com o relato mais completo dos desfechos combinados, com numerador e denominador para o sintoma ocular e o respiratório, o que correspondeu a Bieniek et al. 2022 (67/155 ocular e 86/155 respiratório); as demais entraram só na síntese narrativa. Não pude trocar o representante em análise de sensibilidade porque Bieniek 2025 (n = 343) usou a escala EASE, que gradua intensidade de 0 a 3 e foi reportada estratificada por uso de proteção, sem numerador e denominador globais comparáveis à definição dicotômica dos outros estudos. Também verifiquei dois pares suspeitos por autoria ou país: os dois turcos têm marcos amostrais distintos (İlçe 2017 fez censo de um único hospital de ensino entre abril e junho de 2015; Van Giersbergen 2019 recrutou enfermeiros de todo o país em encontros de uma associação profissional) e os dois malaios foram em hospitais diferentes, Serdang e Kuala Lumpur. Os demais relatórios ficaram fora das metanálises por outros motivos, listados no Anexo D1: sintomas não desagregados por sistema, amostra não restrita ao centro cirúrgico, foco na medição do ar ou desfechos objetivos. Assim, nenhum agrupamento conta um participante duas vezes, embora eu não possa descartar formalmente que um mesmo profissional tenha respondido a dois inquéritos independentes.</w:t>
      </w:r>
    </w:p>
    <w:p>
      <w:pPr>
        <w:pStyle w:val="BlockText"/>
      </w:pPr>
      <w:r>
        <w:t xml:space="preserve">Dica: Saiba explicar por que a dupla contagem importa (conhecimento geral): infla o peso de uma mesma população e estreita artificialmente o intervalo de confiança. Frase de impacto:</w:t>
      </w:r>
      <w:r>
        <w:t xml:space="preserve"> </w:t>
      </w:r>
      <w:r>
        <w:t xml:space="preserve">‘</w:t>
      </w:r>
      <w:r>
        <w:t xml:space="preserve">22 relatórios, sete amostras independentes nas metanálises, zero participantes contados em dobro</w:t>
      </w:r>
      <w:r>
        <w:t xml:space="preserve">’</w:t>
      </w:r>
      <w:r>
        <w:t xml:space="preserve">; não diga</w:t>
      </w:r>
      <w:r>
        <w:t xml:space="preserve"> </w:t>
      </w:r>
      <w:r>
        <w:t xml:space="preserve">‘</w:t>
      </w:r>
      <w:r>
        <w:t xml:space="preserve">sete amostras independentes ao todo</w:t>
      </w:r>
      <w:r>
        <w:t xml:space="preserve">’</w:t>
      </w:r>
      <w:r>
        <w:t xml:space="preserve">, porque entre os 22 há outras amostras independentes que não entraram por motivos diferentes (Anexo D1). Se perguntarem por que não pediu aos autores do cluster o numerador e denominador dicotômicos de Bieniek 2025: o manuscrito declara que não se contataram autores para dados adicionais (Extração dos dados); assuma como limitação e item para atualização, e não confunda com o contato feito para obter os seis textos completos não recuperados.</w:t>
      </w:r>
    </w:p>
    <w:p>
      <w:pPr>
        <w:pStyle w:val="FirstParagraph"/>
      </w:pPr>
      <w:r>
        <w:rPr>
          <w:bCs/>
          <w:b/>
        </w:rPr>
        <w:t xml:space="preserve">P26. [Médio-difícil] Por que o JBI e não Hoy, Newcastle-Ottawa ou ROBINS-E? E por que as versões de 2017, se há versões revisadas?</w:t>
      </w:r>
    </w:p>
    <w:p>
      <w:pPr>
        <w:pStyle w:val="BodyText"/>
      </w:pPr>
      <w:r>
        <w:t xml:space="preserve">Escolhi as ferramentas de apreciação crítica do JBI porque cobrem, com listas específicas, as três funções que os estudos cumprem na síntese: a lista de prevalência (9 itens) para os sete estudos das metanálises; a de transversais analíticos (8 itens) para os demais transversais, inclusive comparativos e de desfechos objetivos; e a de coorte (11 itens) para os três longitudinais. A lista de prevalência converge com o instrumento de Hoy et al. (2012) nos domínios que importam em inquéritos: amostragem, tamanho amostral, validade da mensuração e taxa de resposta, com representatividade do marco amostral e padronização consideradas item a item. Usei as versões de 2017, anteriores às revisadas, mantidas por consistência ao longo da revisão, como declaro nos métodos. Não combinei pontuações de instrumentos diferentes nem usei corte percentual: a classificação global foi um julgamento qualitativo por domínios críticos, com regra operacional explicitada no Anexo E, em que</w:t>
      </w:r>
      <w:r>
        <w:t xml:space="preserve"> </w:t>
      </w:r>
      <w:r>
        <w:t xml:space="preserve">‘</w:t>
      </w:r>
      <w:r>
        <w:t xml:space="preserve">não</w:t>
      </w:r>
      <w:r>
        <w:t xml:space="preserve">’</w:t>
      </w:r>
      <w:r>
        <w:t xml:space="preserve"> </w:t>
      </w:r>
      <w:r>
        <w:t xml:space="preserve">pesou mais que</w:t>
      </w:r>
      <w:r>
        <w:t xml:space="preserve"> </w:t>
      </w:r>
      <w:r>
        <w:t xml:space="preserve">‘</w:t>
      </w:r>
      <w:r>
        <w:t xml:space="preserve">incerto</w:t>
      </w:r>
      <w:r>
        <w:t xml:space="preserve">’</w:t>
      </w:r>
      <w:r>
        <w:t xml:space="preserve"> </w:t>
      </w:r>
      <w:r>
        <w:t xml:space="preserve">e um domínio crítico não atendido com vários incertos levou a preocupação alta. Reconheço duas limitações: a avaliação por revisor único, quando o JBI recomenda dois, e a pertinência limitada dos itens 5 e 6, sobre confundidores, nos três inquéritos descritivos não agrupados.</w:t>
      </w:r>
    </w:p>
    <w:p>
      <w:pPr>
        <w:pStyle w:val="BlockText"/>
      </w:pPr>
      <w:r>
        <w:t xml:space="preserve">Dica: Conhecimento geral para a comparação: a Newcastle-Ottawa foi desenhada para coortes e caso-controle comparativos e não tem versão para inquéritos de prevalência; o ROBINS-E é ferramenta de risco de viés para estudos de exposição voltada à inferência causal, pouco adequada a estimativas de frequência. Sua escolha seguiu o manual do JBI, referência para revisões de prevalência. Não diga que o JBI</w:t>
      </w:r>
      <w:r>
        <w:t xml:space="preserve"> </w:t>
      </w:r>
      <w:r>
        <w:t xml:space="preserve">‘</w:t>
      </w:r>
      <w:r>
        <w:t xml:space="preserve">é melhor</w:t>
      </w:r>
      <w:r>
        <w:t xml:space="preserve">’</w:t>
      </w:r>
      <w:r>
        <w:t xml:space="preserve">; diga que é</w:t>
      </w:r>
      <w:r>
        <w:t xml:space="preserve"> </w:t>
      </w:r>
      <w:r>
        <w:t xml:space="preserve">‘</w:t>
      </w:r>
      <w:r>
        <w:t xml:space="preserve">o adequado para a pergunta</w:t>
      </w:r>
      <w:r>
        <w:t xml:space="preserve">’</w:t>
      </w:r>
      <w:r>
        <w:t xml:space="preserve">. Lembre que, entre os sete estudos das metanálises, só Mohd Fikri Rosely e Titi Rahmawati (2019) usaram amostragem aleatória estratificada e cálculo amostral (Anexo E).</w:t>
      </w:r>
    </w:p>
    <w:p>
      <w:pPr>
        <w:pStyle w:val="FirstParagraph"/>
      </w:pPr>
      <w:r>
        <w:rPr>
          <w:bCs/>
          <w:b/>
        </w:rPr>
        <w:t xml:space="preserve">P27. [Difícil] O GRADE foi criado para perguntas de intervenção. Como você o adaptou para prevalência, por que partiu de certeza baixa e por que não rebaixou por evidência indireta?</w:t>
      </w:r>
    </w:p>
    <w:p>
      <w:pPr>
        <w:pStyle w:val="BodyText"/>
      </w:pPr>
      <w:r>
        <w:t xml:space="preserve">Usei o GRADE em abordagem modificada para prevalência, seguindo Barker et al. (2021), Munn et al. (2015) e o manual do Ministério da Saúde (2014), e, como não há adaptação universalmente padronizada, explicitei critério e justificativa por domínio no Anexo F. Sobre o ponto de partida, há debate: Migliavaca et al. (2020) e Murad et al. (2017) sugerem que estudos descritivos podem partir de certeza alta, por não haver inferência causal a proteger. Por decisão metodológica adotei o ponto de partida baixo para evidência observacional e mostro que isso não muda a conclusão: com risco de viés grave, inconsistência muito grave (I² de 93% e 91%) e imprecisão grave, a certeza seria muito baixa de qualquer ponto de partida. Não rebaixei por evidência indireta nos desfechos de prevalência porque o sintoma autorrelatado é o próprio desfecho da pergunta de frequência, não um substituto; a exposição aferida pela ocupação e o autorrelato entraram no domínio de risco de viés, limitando a interpretação causal, não a diretividade da estimativa. Para evitar dupla contagem, a amplitude do intervalo de predição ficou na inconsistência e a do IC95% na imprecisão, julgada sem limiar decisório pré-especificado. Nos desfechos objetivos de estudo único, rebaixei por risco de viés (sem ajuste para confundidores), evidência indireta (coexposições e desfechos substitutos) e imprecisão (poucos eventos ou ausência de IC), com viés de publicação registrado como não avaliável. Resultado: muito baixa em todos os desfechos e</w:t>
      </w:r>
      <w:r>
        <w:t xml:space="preserve"> </w:t>
      </w:r>
      <w:r>
        <w:t xml:space="preserve">‘</w:t>
      </w:r>
      <w:r>
        <w:t xml:space="preserve">sem evidência</w:t>
      </w:r>
      <w:r>
        <w:t xml:space="preserve">’</w:t>
      </w:r>
      <w:r>
        <w:t xml:space="preserve"> </w:t>
      </w:r>
      <w:r>
        <w:t xml:space="preserve">para câncer e DPOC.</w:t>
      </w:r>
    </w:p>
    <w:p>
      <w:pPr>
        <w:pStyle w:val="BlockText"/>
      </w:pPr>
      <w:r>
        <w:t xml:space="preserve">Dica: Se o avaliador disser</w:t>
      </w:r>
      <w:r>
        <w:t xml:space="preserve"> </w:t>
      </w:r>
      <w:r>
        <w:t xml:space="preserve">‘</w:t>
      </w:r>
      <w:r>
        <w:t xml:space="preserve">partindo de alta você chegaria a baixa, não a muito baixa</w:t>
      </w:r>
      <w:r>
        <w:t xml:space="preserve">’</w:t>
      </w:r>
      <w:r>
        <w:t xml:space="preserve">, faça a conta em voz alta (conhecimento geral): risco de viés −1, inconsistência −2, imprecisão −1 = −4 níveis; de alta só há três degraus até muito baixa. A conclusão é a mesma.</w:t>
      </w:r>
    </w:p>
    <w:p>
      <w:pPr>
        <w:pStyle w:val="FirstParagraph"/>
      </w:pPr>
      <w:r>
        <w:rPr>
          <w:bCs/>
          <w:b/>
        </w:rPr>
        <w:t xml:space="preserve">P28. [Médio] Por que não há gráfico de funil nem teste de Egger? Como avaliou o viés de relato e por que não rebaixou o GRADE nesse domínio?</w:t>
      </w:r>
    </w:p>
    <w:p>
      <w:pPr>
        <w:pStyle w:val="BodyText"/>
      </w:pPr>
      <w:r>
        <w:t xml:space="preserve">Não apliquei testes de assimetria por duas razões técnicas. Primeira: em metanálise de proporção o erro-padrão é função da própria proporção, então o funil mostra assimetria espúria mesmo sem viés; por isso, na Figura G3 (sintoma ocular), coloquei o tamanho amostral no eixo vertical, e não o erro-padrão, e nenhum teste formal foi aplicado. Segunda: esses testes exigem pelo menos dez estudos, e tenho seis no ocular e sete no respiratório. A avaliação foi qualitativa: de um lado, poucos estudos por desfecho, predomínio de amostras pequenas e seis relatórios não recuperados, dois deles inquéritos de sintomas, impedem excluir o viés; de outro, a busca foi ampla, com sete bases, literatura cinzenta e busca por citação, o que não dá base formal para rebaixar. O Anexo F registra exatamente isso:</w:t>
      </w:r>
      <w:r>
        <w:t xml:space="preserve"> </w:t>
      </w:r>
      <w:r>
        <w:t xml:space="preserve">‘</w:t>
      </w:r>
      <w:r>
        <w:t xml:space="preserve">não rebaixado; viés não excluível</w:t>
      </w:r>
      <w:r>
        <w:t xml:space="preserve">’</w:t>
      </w:r>
      <w:r>
        <w:t xml:space="preserve">. Para os desfechos sustentados por um único estudo, registrei como não avaliável, o que não equivale a afirmar ausência de viés. Vale acrescentar que, em metanálise de prevalência, a noção de</w:t>
      </w:r>
      <w:r>
        <w:t xml:space="preserve"> </w:t>
      </w:r>
      <w:r>
        <w:t xml:space="preserve">‘</w:t>
      </w:r>
      <w:r>
        <w:t xml:space="preserve">resultado positivo</w:t>
      </w:r>
      <w:r>
        <w:t xml:space="preserve">’</w:t>
      </w:r>
      <w:r>
        <w:t xml:space="preserve"> </w:t>
      </w:r>
      <w:r>
        <w:t xml:space="preserve">que motiva a publicação seletiva é menos clara do que em estudos de efeito (conhecimento geral), o que reforça a opção pela apreciação qualitativa.</w:t>
      </w:r>
    </w:p>
    <w:p>
      <w:pPr>
        <w:pStyle w:val="BlockText"/>
      </w:pPr>
      <w:r>
        <w:t xml:space="preserve">Dica: Nunca diga</w:t>
      </w:r>
      <w:r>
        <w:t xml:space="preserve"> </w:t>
      </w:r>
      <w:r>
        <w:t xml:space="preserve">‘</w:t>
      </w:r>
      <w:r>
        <w:t xml:space="preserve">não há viés de publicação</w:t>
      </w:r>
      <w:r>
        <w:t xml:space="preserve">’</w:t>
      </w:r>
      <w:r>
        <w:t xml:space="preserve">. Diga</w:t>
      </w:r>
      <w:r>
        <w:t xml:space="preserve"> </w:t>
      </w:r>
      <w:r>
        <w:t xml:space="preserve">‘</w:t>
      </w:r>
      <w:r>
        <w:t xml:space="preserve">não pude excluí-lo, mas não havia base para rebaixar</w:t>
      </w:r>
      <w:r>
        <w:t xml:space="preserve">’</w:t>
      </w:r>
      <w:r>
        <w:t xml:space="preserve">. Se perguntarem pelo Doi plot com índice LFK (conhecimento geral: alternativa proposta para proporções com poucos estudos), responda que não o aplicou, que a opção foi a apreciação qualitativa e transparente, e que pode ser incorporado numa atualização.</w:t>
      </w:r>
    </w:p>
    <w:bookmarkEnd w:id="104"/>
    <w:bookmarkStart w:id="105" w:name="lente-clínica-e-saúde-ocupacional"/>
    <w:p>
      <w:pPr>
        <w:pStyle w:val="Heading3"/>
      </w:pPr>
      <w:r>
        <w:t xml:space="preserve">Lente: Clínica e saúde ocupacional</w:t>
      </w:r>
    </w:p>
    <w:p>
      <w:pPr>
        <w:pStyle w:val="FirstParagraph"/>
      </w:pPr>
      <w:r>
        <w:rPr>
          <w:bCs/>
          <w:b/>
        </w:rPr>
        <w:t xml:space="preserve">P29. Para começar pelo básico: o que exatamente tem nessa fumaça, e faz diferença se é bisturi elétrico, laser ou bisturi ultrassônico?</w:t>
      </w:r>
    </w:p>
    <w:p>
      <w:pPr>
        <w:pStyle w:val="BodyText"/>
      </w:pPr>
      <w:r>
        <w:t xml:space="preserve">A fumaça cirúrgica é o subproduto do aquecimento e da destruição térmica do tecido por dispositivos de energia, e no PECO eu considerei os três: eletrocautério, laser e bisturi ultrassônico. A composição é uma mistura complexa: hidrocarbonetos aromáticos policíclicos, compostos orgânicos voláteis como benzeno, tolueno e xileno, material particulado ultrafino e fino (PM2,5), microrganismos viáveis e material genético viral, sobretudo do HPV. A literatura que cito na introdução (Benaim e Jaspers, 2024; Casey, 2021; Markowska, 2020; Van Gestel, 2020) mostra que a natureza e a concentração desses componentes variam conforme o tecido operado e o dispositivo empregado. Por isso o tipo de dispositivo predominante é um moderador plausível da heterogeneidade dos sintomas, mas não pude explorá-lo por limitação de dados dos estudos primários, e registro isso na discussão como lacuna. É o tipo de variável que a aferição objetiva da exposição, que recomendo para os estudos futuros, precisa capturar.</w:t>
      </w:r>
    </w:p>
    <w:p>
      <w:pPr>
        <w:pStyle w:val="BlockText"/>
      </w:pPr>
      <w:r>
        <w:t xml:space="preserve">Dica: Nível: básico. O que NÃO dizer:</w:t>
      </w:r>
      <w:r>
        <w:t xml:space="preserve"> </w:t>
      </w:r>
      <w:r>
        <w:t xml:space="preserve">‘</w:t>
      </w:r>
      <w:r>
        <w:t xml:space="preserve">a composição é igual à do cigarro</w:t>
      </w:r>
      <w:r>
        <w:t xml:space="preserve">’</w:t>
      </w:r>
      <w:r>
        <w:t xml:space="preserve"> </w:t>
      </w:r>
      <w:r>
        <w:t xml:space="preserve">— essa comparação não está no manuscrito e abre flanco. Mantenha a lista de componentes e aponte que o dispositivo é moderador plausível, não explorado.</w:t>
      </w:r>
    </w:p>
    <w:p>
      <w:pPr>
        <w:pStyle w:val="FirstParagraph"/>
      </w:pPr>
      <w:r>
        <w:rPr>
          <w:bCs/>
          <w:b/>
        </w:rPr>
        <w:t xml:space="preserve">P30. Você fala em PM2,5. Qual a relevância clínica dessa fração, e a sua revisão mediu alguma concentração?</w:t>
      </w:r>
    </w:p>
    <w:p>
      <w:pPr>
        <w:pStyle w:val="BodyText"/>
      </w:pPr>
      <w:r>
        <w:t xml:space="preserve">PM2,5 é o material particulado com diâmetro aerodinâmico inferior a 2,5 micrômetros, pequeno o suficiente para atingir as vias aéreas inferiores; essa fração já foi documentada na fumaça cirúrgica por Okoshi (2022), Tanaka (2023) e Yan (2022), e é a carga de fração respirável que reforça a preocupação respiratória (Hill et al., 2012). Minha revisão, porém, não sintetizou concentrações: por critério de elegibilidade, excluí caracterização estritamente físico-química do ar sem desfecho ou exposição humana, porque a pergunta era sobre efeitos à saúde na equipe. Entre os 22 relatórios, o único cujo desfecho na Tabela 1 inclui medição ambiental é o de Jadhav e Achutan (2020), nos Estados Unidos, com 43 participantes, que mediu formaldeído, PM2,5 e COV junto com sintomas; entrou na revisão, mas não nos agrupamentos, pelo foco na medição do ar e pela amostra reduzida. O que posso afirmar é que a exposição a PM2,5 está documentada e é biologicamente plausível, mas a magnitude e o significado clínico ainda são discutidos, como aponta a revisão crítica de Hurst e Stewart (2024). Por isso recomendo aferição objetiva da exposição nos próximos estudos, em vez da ocupação como proxy.</w:t>
      </w:r>
    </w:p>
    <w:p>
      <w:pPr>
        <w:pStyle w:val="BlockText"/>
      </w:pPr>
      <w:r>
        <w:t xml:space="preserve">Dica: Nível: médio. Não invente valores em µg/m³ — não há nenhum no manuscrito. Se insistirem, diga que a revisão não sintetizou dados ambientais por critério de elegibilidade e cite Jadhav e Achutan como o estudo com medição.</w:t>
      </w:r>
    </w:p>
    <w:p>
      <w:pPr>
        <w:pStyle w:val="FirstParagraph"/>
      </w:pPr>
      <w:r>
        <w:rPr>
          <w:bCs/>
          <w:b/>
        </w:rPr>
        <w:t xml:space="preserve">P31. O achado de HPV nasal nos ginecologistas prova transmissão ocupacional do vírus pela fumaça?</w:t>
      </w:r>
    </w:p>
    <w:p>
      <w:pPr>
        <w:pStyle w:val="BodyText"/>
      </w:pPr>
      <w:r>
        <w:t xml:space="preserve">Não prova, e faço questão de separar detecção de infecção. No estudo de Hu et al. (2021), com 700 ginecologistas na China, o DNA do HPV foi detectado na mucosa nasal em 8,96% dos que faziam eletrocirurgia (42 de 469) contra 1,73% dos não expostos (4 de 231); o risco relativo de 5,2 (IC95% 1,9–14,2) fui eu que calculei a partir da tabela de contingência, pelo método de Wald na escala logarítmica, e houve maior positividade quanto maior o tempo de eletrocirurgia. Mas o que se detectou foi material genético, o que pode refletir deposição transitória de partículas ou fragmentos de DNA na mucosa, sem comprovar infecção estabelecida, infectividade ou doença. No GRADE rebaixei por evidência indireta exatamente por isso, e ainda por exposição autorrelatada, ausência de ajuste para confundidores e imprecisão, com apenas 46 eventos. Há relatos de caso de papilomatose laríngea e de carcinoma orofaríngeo associado ao HPV em cirurgiões com longa exposição a plumas de laser e de eletrocirurgia (Hallmo e Naess, 1991; Rioux et al., 2013), que reforçam a plausibilidade, mas pelo desenho não eram elegíveis e não permitem estimar risco. Minha leitura: há um sinal consistente com exposição ao vírus, com gradiente de dose, mas a cadeia detecção, infecção e doença não está demonstrada.</w:t>
      </w:r>
    </w:p>
    <w:p>
      <w:pPr>
        <w:pStyle w:val="BlockText"/>
      </w:pPr>
      <w:r>
        <w:t xml:space="preserve">Dica: Nível: difícil. Se citarem o dado do N95 nesse estudo (0 de 196 contra 13,98%), antecipe: é comparação de subgrupo dentro dos expostos, sem ajuste, e não sustenta sozinho inferência de efetividade. Não diga</w:t>
      </w:r>
      <w:r>
        <w:t xml:space="preserve"> </w:t>
      </w:r>
      <w:r>
        <w:t xml:space="preserve">‘</w:t>
      </w:r>
      <w:r>
        <w:t xml:space="preserve">o HPV é transmitido pela fumaça</w:t>
      </w:r>
      <w:r>
        <w:t xml:space="preserve">’</w:t>
      </w:r>
      <w:r>
        <w:t xml:space="preserve">.</w:t>
      </w:r>
    </w:p>
    <w:p>
      <w:pPr>
        <w:pStyle w:val="FirstParagraph"/>
      </w:pPr>
      <w:r>
        <w:rPr>
          <w:bCs/>
          <w:b/>
        </w:rPr>
        <w:t xml:space="preserve">P32. Vamos direto ao ponto: fumaça cirúrgica causa câncer ou DPOC em quem trabalha no centro cirúrgico?</w:t>
      </w:r>
    </w:p>
    <w:p>
      <w:pPr>
        <w:pStyle w:val="BodyText"/>
      </w:pPr>
      <w:r>
        <w:t xml:space="preserve">A resposta honesta é que ninguém mediu isso diretamente, e esse talvez seja o achado mais importante da revisão. Com busca em sete bases, literatura cinzenta e busca por citação, sem filtro de idioma na busca (a elegibilidade admitiu português, inglês e espanhol), não identifiquei nenhum estudo observacional que avaliasse a associação entre a exposição ocupacional e a incidência de câncer ou de DPOC na equipe de centro cirúrgico; na Tabela 2 esse desfecho aparece com zero estudos e</w:t>
      </w:r>
      <w:r>
        <w:t xml:space="preserve"> </w:t>
      </w:r>
      <w:r>
        <w:t xml:space="preserve">‘</w:t>
      </w:r>
      <w:r>
        <w:t xml:space="preserve">sem evidência</w:t>
      </w:r>
      <w:r>
        <w:t xml:space="preserve">’</w:t>
      </w:r>
      <w:r>
        <w:t xml:space="preserve">. Ausência de estudos não é evidência de ausência de risco: é uma lacuna da literatura. O que existe são sinais em desfechos intermediários (função pulmonar menor, metabólitos de benzeno e xileno elevados, metaplasia nasal, maior detecção de HPV) e relatos de caso de neoplasia HPV-positiva em cirurgiões, que sustentam plausibilidade mas não estimam risco. Por isso digo que a controvérsia levantada por Hurst e Stewart (2024), que consideram o risco possivelmente superestimado, não se resolve com os estudos existentes, e sim com estudos longitudinais com aferição objetiva da exposição e controle de coexposições e tabagismo. Enquanto isso, a proteção se justifica pela carga sintomática e pelo princípio da precaução, não por risco de câncer demonstrado.</w:t>
      </w:r>
    </w:p>
    <w:p>
      <w:pPr>
        <w:pStyle w:val="BlockText"/>
      </w:pPr>
      <w:r>
        <w:t xml:space="preserve">Dica: Nível: difícil. O que NÃO dizer:</w:t>
      </w:r>
      <w:r>
        <w:t xml:space="preserve"> </w:t>
      </w:r>
      <w:r>
        <w:t xml:space="preserve">‘</w:t>
      </w:r>
      <w:r>
        <w:t xml:space="preserve">a fumaça é cancerígena</w:t>
      </w:r>
      <w:r>
        <w:t xml:space="preserve">’</w:t>
      </w:r>
      <w:r>
        <w:t xml:space="preserve">. Diga</w:t>
      </w:r>
      <w:r>
        <w:t xml:space="preserve"> </w:t>
      </w:r>
      <w:r>
        <w:t xml:space="preserve">‘</w:t>
      </w:r>
      <w:r>
        <w:t xml:space="preserve">há plausibilidade biológica e um vazio de evidência direta</w:t>
      </w:r>
      <w:r>
        <w:t xml:space="preserve">’</w:t>
      </w:r>
      <w:r>
        <w:t xml:space="preserve">, e mostre que o vazio foi documentado por busca ampla, não por falta de procura.</w:t>
      </w:r>
    </w:p>
    <w:p>
      <w:pPr>
        <w:pStyle w:val="FirstParagraph"/>
      </w:pPr>
      <w:r>
        <w:rPr>
          <w:bCs/>
          <w:b/>
        </w:rPr>
        <w:t xml:space="preserve">P33. No estudo de espirometria, VEF1 e CVF caíram, mas a relação VEF1/CVF ficou em torno de 91% nos dois grupos. Isso é obstrução? Como você interpreta?</w:t>
      </w:r>
    </w:p>
    <w:p>
      <w:pPr>
        <w:pStyle w:val="BodyText"/>
      </w:pPr>
      <w:r>
        <w:t xml:space="preserve">Não é obstrução, e discuto isso explicitamente. No estudo de Ibrahim et al. (2025), no Sudão, com 92 expostos e 92 não expostos pareados por idade, sexo e estatura, e com exclusão de fumantes atuais ou pregressos, as medianas foram VEF1 de 2,78 contra 3,14 L, CVF de 3,02 contra 3,45 L e PFE de 327,5 contra 483,5 L/min, todas com p = 0,001 pelo Mann-Whitney. Já a relação VEF1/CVF foi de 91,9% nos expostos contra 91,0% nos não expostos (p = 0,012), ou seja, ligeiramente maior nos expostos, no sentido contrário ao esperado em obstrução e de relevância clínica incerta; o texto do artigo original até descreve a relação como menor nos expostos, em desacordo com a própria tabela de resultados, de onde extraí os dados. Uma relação em torno de 91% nos dois grupos está no limite superior da faixa habitual em adultos jovens, e queda de VEF1 e CVF com relação preservada é mais compatível com padrão restritivo ou com manobras de expiração incompleta, que subestimam a CVF e elevam artificialmente a relação. Restrição eu não posso confirmar sem a capacidade pulmonar total, que o estudo não apresenta. Por isso a preocupação com viés ficou moderada e a certeza, muito baixa: o sinal existe, mas o padrão fisiológico não fecha com doença obstrutiva.</w:t>
      </w:r>
    </w:p>
    <w:p>
      <w:pPr>
        <w:pStyle w:val="BlockText"/>
      </w:pPr>
      <w:r>
        <w:t xml:space="preserve">Dica: Nível: difícil. Postura: mostre que leu a tabela, não só o resumo — a discrepância texto/tabela é um ponto forte seu. O que NÃO dizer:</w:t>
      </w:r>
      <w:r>
        <w:t xml:space="preserve"> </w:t>
      </w:r>
      <w:r>
        <w:t xml:space="preserve">‘</w:t>
      </w:r>
      <w:r>
        <w:t xml:space="preserve">padrão restritivo confirmado</w:t>
      </w:r>
      <w:r>
        <w:t xml:space="preserve">’</w:t>
      </w:r>
      <w:r>
        <w:t xml:space="preserve"> </w:t>
      </w:r>
      <w:r>
        <w:t xml:space="preserve">(falta a CPT).</w:t>
      </w:r>
    </w:p>
    <w:p>
      <w:pPr>
        <w:pStyle w:val="FirstParagraph"/>
      </w:pPr>
      <w:r>
        <w:rPr>
          <w:bCs/>
          <w:b/>
        </w:rPr>
        <w:t xml:space="preserve">P34. O pico de fluxo caiu muito mais do que o VEF1. Isso não sugere diferença de esforço, e não de doença? E o gradiente com o tempo de exposição, vale alguma coisa?</w:t>
      </w:r>
    </w:p>
    <w:p>
      <w:pPr>
        <w:pStyle w:val="BodyText"/>
      </w:pPr>
      <w:r>
        <w:t xml:space="preserve">Sugere, e trato isso como uma ambiguidade real. A redução relativa foi bem maior no PFE do que no VEF1, e o PFE é, entre os parâmetros espirométricos, o mais dependente do esforço do participante. Essa desproporção é compatível tanto com um efeito real quanto com diferenças de técnica ou de esforço entre os grupos, e o relatório original registra manobras de qualidade B ou C em 44 dos 184 participantes, sem apresentar percentuais do previsto nem escores z, o que impede saber se os valores estão fora da normalidade individual. Em favor de um efeito real está o modelo do próprio estudo: maior tempo de atuação em centro cirúrgico esteve associado a menores valores espirométricos após ajuste por idade e índice de massa corporal, um gradiente conforme o tempo de exposição. Só que esse ajuste cobre um conjunto limitado de confundidores e a exposição é mista, com gases anestésicos no mesmo ambiente, o que registrei no GRADE como evidência indireta grave; e, como o original não traz medida de efeito nem IC95%, rebaixei também por imprecisão. Minha conclusão é que o estudo gera hipótese e não demonstra efeito funcional atribuível à fumaça.</w:t>
      </w:r>
    </w:p>
    <w:p>
      <w:pPr>
        <w:pStyle w:val="BlockText"/>
      </w:pPr>
      <w:r>
        <w:t xml:space="preserve">Dica: Nível: médio-difícil. Use o termo</w:t>
      </w:r>
      <w:r>
        <w:t xml:space="preserve"> </w:t>
      </w:r>
      <w:r>
        <w:t xml:space="preserve">‘</w:t>
      </w:r>
      <w:r>
        <w:t xml:space="preserve">dependente do esforço</w:t>
      </w:r>
      <w:r>
        <w:t xml:space="preserve">’</w:t>
      </w:r>
      <w:r>
        <w:t xml:space="preserve"> </w:t>
      </w:r>
      <w:r>
        <w:t xml:space="preserve">e cite os 44 de 184 com qualidade B ou C — mostra domínio do controle de qualidade da espirometria. Não aceite nem rejeite a hipótese do esforço: as duas são compatíveis com os dados.</w:t>
      </w:r>
    </w:p>
    <w:p>
      <w:pPr>
        <w:pStyle w:val="FirstParagraph"/>
      </w:pPr>
      <w:r>
        <w:rPr>
          <w:bCs/>
          <w:b/>
        </w:rPr>
        <w:t xml:space="preserve">P35. O ácido trans,trans-mucônico na urina é específico para benzeno da fumaça cirúrgica? Como o médico do trabalho deve ler esses biomarcadores?</w:t>
      </w:r>
    </w:p>
    <w:p>
      <w:pPr>
        <w:pStyle w:val="BodyText"/>
      </w:pPr>
      <w:r>
        <w:t xml:space="preserve">Não é específico, e deixo isso claro na discussão. No estudo de Canicoba (2025), tese de doutorado da Escola de Enfermagem da USP com 104 participantes (52 expostos e 49 controles para os metabólitos, após perda de três amostras do controle; 52 contra 52 no perfil oxidativo), o grupo exposto teve ácido trans,trans-mucônico de 202,89 contra 46,06 µg/L, ácido metil-hipúrico de 468,18 contra 184,40 µg/L e malondialdeído de 9,33 contra 3,22 nmol/mg de proteína, todos com p &lt; 0,001. Como o estudo não reportou medida de efeito nem intervalo de confiança, calculei diferenças aritméticas entre as médias publicadas (156,83 µg/L, 283,78 µg/L e 6,11 nmol/mg), que são descritivas, não ajustadas e não correspondem ao estimador do teste não paramétrico do original. O ácido trans,trans-mucônico indica exposição recente a benzeno, mas também deriva do ácido sórbico de alimentos e se eleva com o tabagismo; o ácido metil-hipúrico indica exposição recente a xileno; o malondialdeído sinaliza estresse oxidativo sem indicar a fonte. São biomarcadores de exposição ou de possível efeito, não de doença: nenhum desfecho clínico foi medido. No GRADE rebaixei por ausência de estimativa ajustada para confundidores, por evidência indireta (marcadores substitutos e coexposições) e por imprecisão. Para o médico do trabalho, a leitura é que a equipe está absorvendo solventes, mas a atribuição à fumaça, e não a outra fonte do ambiente, não está isolada.</w:t>
      </w:r>
    </w:p>
    <w:p>
      <w:pPr>
        <w:pStyle w:val="BlockText"/>
      </w:pPr>
      <w:r>
        <w:t xml:space="preserve">Dica: Nível: médio. Diferencie sempre</w:t>
      </w:r>
      <w:r>
        <w:t xml:space="preserve"> </w:t>
      </w:r>
      <w:r>
        <w:t xml:space="preserve">‘</w:t>
      </w:r>
      <w:r>
        <w:t xml:space="preserve">biomarcador de exposição</w:t>
      </w:r>
      <w:r>
        <w:t xml:space="preserve">’</w:t>
      </w:r>
      <w:r>
        <w:t xml:space="preserve">,</w:t>
      </w:r>
      <w:r>
        <w:t xml:space="preserve"> </w:t>
      </w:r>
      <w:r>
        <w:t xml:space="preserve">‘</w:t>
      </w:r>
      <w:r>
        <w:t xml:space="preserve">biomarcador de possível efeito</w:t>
      </w:r>
      <w:r>
        <w:t xml:space="preserve">’</w:t>
      </w:r>
      <w:r>
        <w:t xml:space="preserve"> </w:t>
      </w:r>
      <w:r>
        <w:t xml:space="preserve">e</w:t>
      </w:r>
      <w:r>
        <w:t xml:space="preserve"> </w:t>
      </w:r>
      <w:r>
        <w:t xml:space="preserve">‘</w:t>
      </w:r>
      <w:r>
        <w:t xml:space="preserve">desfecho clínico</w:t>
      </w:r>
      <w:r>
        <w:t xml:space="preserve">’</w:t>
      </w:r>
      <w:r>
        <w:t xml:space="preserve">. O que NÃO dizer:</w:t>
      </w:r>
      <w:r>
        <w:t xml:space="preserve"> </w:t>
      </w:r>
      <w:r>
        <w:t xml:space="preserve">‘</w:t>
      </w:r>
      <w:r>
        <w:t xml:space="preserve">níveis tóxicos</w:t>
      </w:r>
      <w:r>
        <w:t xml:space="preserve">’</w:t>
      </w:r>
      <w:r>
        <w:t xml:space="preserve"> </w:t>
      </w:r>
      <w:r>
        <w:t xml:space="preserve">— o manuscrito não compara com limites biológicos de exposição.</w:t>
      </w:r>
    </w:p>
    <w:p>
      <w:pPr>
        <w:pStyle w:val="FirstParagraph"/>
      </w:pPr>
      <w:r>
        <w:rPr>
          <w:bCs/>
          <w:b/>
        </w:rPr>
        <w:t xml:space="preserve">P36. Metaplasia da mucosa nasal em 70% dos residentes expostos: isso é lesão pré-neoplásica? Qual o peso desse achado?</w:t>
      </w:r>
    </w:p>
    <w:p>
      <w:pPr>
        <w:pStyle w:val="BodyText"/>
      </w:pPr>
      <w:r>
        <w:t xml:space="preserve">É um achado histológico real, mas inespecífico. Na coorte de Navarro et al. (2016), no México, com quatro anos de seguimento, a biópsia mostrou metaplasia ou hiperplasia da mucosa nasal em 70% dos residentes expostos (16 de 23) contra 5% dos não expostos (1 de 20); o risco relativo de 13,9 (IC95% 2,0–95,8) fui eu que calculei a partir da tabela de contingência, e o intervalo é enorme porque houve apenas 17 eventos no total e um único caso no grupo controle, então a magnitude é muito imprecisa. Quanto ao significado, metaplasia ou hiperplasia representa resposta inespecífica da mucosa a irritantes inalados, não exclusiva da fumaça cirúrgica; não trato isso como lesão pré-neoplásica, e o manuscrito não faz essa afirmação. O ponto forte do estudo é o desenho de coorte, que dá temporalidade: a exposição precede a alteração. O ponto fraco é que a exposição foi aferida por proxy, sem controle de confundidores e com perdas no seguimento, o que levou à preocupação moderada com viés (6 de 11 itens do JBI atendidos) e, no GRADE, a rebaixamento também por evidência indireta (coexposições) e imprecisão, com certeza muito baixa.</w:t>
      </w:r>
    </w:p>
    <w:p>
      <w:pPr>
        <w:pStyle w:val="BlockText"/>
      </w:pPr>
      <w:r>
        <w:t xml:space="preserve">Dica: Nível: médio. O que NÃO dizer:</w:t>
      </w:r>
      <w:r>
        <w:t xml:space="preserve"> </w:t>
      </w:r>
      <w:r>
        <w:t xml:space="preserve">‘</w:t>
      </w:r>
      <w:r>
        <w:t xml:space="preserve">risco 14 vezes maior</w:t>
      </w:r>
      <w:r>
        <w:t xml:space="preserve">’</w:t>
      </w:r>
      <w:r>
        <w:t xml:space="preserve"> </w:t>
      </w:r>
      <w:r>
        <w:t xml:space="preserve">como se fosse preciso. Diga</w:t>
      </w:r>
      <w:r>
        <w:t xml:space="preserve"> </w:t>
      </w:r>
      <w:r>
        <w:t xml:space="preserve">‘</w:t>
      </w:r>
      <w:r>
        <w:t xml:space="preserve">RR 13,9, mas IC de 2 a 96, com 17 eventos</w:t>
      </w:r>
      <w:r>
        <w:t xml:space="preserve">’</w:t>
      </w:r>
      <w:r>
        <w:t xml:space="preserve">. Valorize a temporalidade da coorte, que os transversais não têm.</w:t>
      </w:r>
    </w:p>
    <w:p>
      <w:pPr>
        <w:pStyle w:val="FirstParagraph"/>
      </w:pPr>
      <w:r>
        <w:rPr>
          <w:bCs/>
          <w:b/>
        </w:rPr>
        <w:t xml:space="preserve">P37. Seus dados são quase todos transversais em quem ainda está trabalhando. O efeito do trabalhador sadio puxa a sua prevalência para cima ou para baixo?</w:t>
      </w:r>
    </w:p>
    <w:p>
      <w:pPr>
        <w:pStyle w:val="BodyText"/>
      </w:pPr>
      <w:r>
        <w:t xml:space="preserve">Para baixo, na componente que importa aqui, a de sobrevivência no emprego, o healthy worker survivor effect. Como os estudos são majoritariamente transversais, quem desenvolve sintomas mais graves pode deixar o centro cirúrgico e sai do denominador, de modo que a prevalência medida entre os que permaneceram tende a ser subestimada; cito Li e Sung (1999) para isso. Só que há um viés em sentido contrário que também reconheço: o viés de atribuição, porque os instrumentos apresentam os sintomas como relacionados à fumaça e o respondente conhece o objeto do estudo, então minhas estimativas expressam a proporção que relatou o sintoma e o atribuiu à exposição. Além disso, os agrupamentos não têm grupo não exposto, então não consigo contrastar os 37,6% oculares ou os 41,7% respiratórios com a frequência de base desses sintomas em outros trabalhadores. O manuscrito não quantifica a direção líquida desses vieses, e com os dados disponíveis ela não é determinável. É por isso que insisto que a metanálise estima frequência em expostos, não excesso atribuível, e que a resposta definitiva exige coorte com seguimento de quem sai da atividade.</w:t>
      </w:r>
    </w:p>
    <w:p>
      <w:pPr>
        <w:pStyle w:val="BlockText"/>
      </w:pPr>
      <w:r>
        <w:t xml:space="preserve">Dica: Nível: difícil. Nomeie a componente (</w:t>
      </w:r>
      <w:r>
        <w:t xml:space="preserve">‘</w:t>
      </w:r>
      <w:r>
        <w:t xml:space="preserve">survivor effect</w:t>
      </w:r>
      <w:r>
        <w:t xml:space="preserve">’</w:t>
      </w:r>
      <w:r>
        <w:t xml:space="preserve">) e dê a direção. Não responda apenas</w:t>
      </w:r>
      <w:r>
        <w:t xml:space="preserve"> </w:t>
      </w:r>
      <w:r>
        <w:t xml:space="preserve">‘</w:t>
      </w:r>
      <w:r>
        <w:t xml:space="preserve">é uma limitação</w:t>
      </w:r>
      <w:r>
        <w:t xml:space="preserve">’</w:t>
      </w:r>
      <w:r>
        <w:t xml:space="preserve">: o examinador quer ouvir para que lado o viés puxa e que existe um viés contrário (atribuição).</w:t>
      </w:r>
    </w:p>
    <w:p>
      <w:pPr>
        <w:pStyle w:val="FirstParagraph"/>
      </w:pPr>
      <w:r>
        <w:rPr>
          <w:bCs/>
          <w:b/>
        </w:rPr>
        <w:t xml:space="preserve">P38. No centro cirúrgico também há gases anestésicos residuais e radiação. Como você garante que os efeitos que descreve são da fumaça?</w:t>
      </w:r>
    </w:p>
    <w:p>
      <w:pPr>
        <w:pStyle w:val="BodyText"/>
      </w:pPr>
      <w:r>
        <w:t xml:space="preserve">Eu não garanto, e esse é um dos limites centrais do trabalho. A exposição no centro cirúrgico é múltipla: a fumaça coexiste com gases anestésicos residuais e radiação ionizante, e nos estudos incluídos a exposição foi aferida quase sempre por proxy, pela ocupação, e não por medição. O que fiz para mitigar foi, primeiro, excluir estudos cuja exposição não pudesse ser atribuída à fumaça, como os que avaliavam apenas gases anestésicos ou radiação; segundo, registrar a coexposição como limitação no Anexo D2, onde ela é a limitação principal da espirometria (</w:t>
      </w:r>
      <w:r>
        <w:t xml:space="preserve">‘</w:t>
      </w:r>
      <w:r>
        <w:t xml:space="preserve">fumaça + gases anestésicos</w:t>
      </w:r>
      <w:r>
        <w:t xml:space="preserve">’</w:t>
      </w:r>
      <w:r>
        <w:t xml:space="preserve">) e dos biomarcadores (</w:t>
      </w:r>
      <w:r>
        <w:t xml:space="preserve">‘</w:t>
      </w:r>
      <w:r>
        <w:t xml:space="preserve">coexposições ocupacionais</w:t>
      </w:r>
      <w:r>
        <w:t xml:space="preserve">’</w:t>
      </w:r>
      <w:r>
        <w:t xml:space="preserve">); e terceiro, rebaixar a certeza no GRADE por evidência indireta grave, por exposição mista na função pulmonar e por coexposições nos biomarcadores e na mucosa nasal (no HPV, o rebaixamento por evidência indireta foi por outro motivo: DNA é marcador de detecção, não de infecção). O estudo de espirometria ao menos excluiu fumantes atuais e pregressos, o que remove o confundidor mais óbvio, mas o ajuste ficou restrito a idade e IMC. Por isso concluo que a especificidade, no sentido dos critérios de causalidade, está comprometida, e que os estudos futuros precisam de aferição objetiva da fumaça e controle das coexposições e do tabagismo.</w:t>
      </w:r>
    </w:p>
    <w:p>
      <w:pPr>
        <w:pStyle w:val="BlockText"/>
      </w:pPr>
      <w:r>
        <w:t xml:space="preserve">Dica: Nível: difícil. Mostre as três camadas de mitigação (elegibilidade, registro no Anexo D2, rebaixamento no GRADE), sem generalizar: no D2 a coexposição é limitação principal só da espirometria e dos biomarcadores. O que NÃO dizer:</w:t>
      </w:r>
      <w:r>
        <w:t xml:space="preserve"> </w:t>
      </w:r>
      <w:r>
        <w:t xml:space="preserve">‘</w:t>
      </w:r>
      <w:r>
        <w:t xml:space="preserve">os controles eram de outro setor, então está controlado</w:t>
      </w:r>
      <w:r>
        <w:t xml:space="preserve">’</w:t>
      </w:r>
      <w:r>
        <w:t xml:space="preserve"> </w:t>
      </w:r>
      <w:r>
        <w:t xml:space="preserve">— pareamento não controla coexposição.</w:t>
      </w:r>
    </w:p>
    <w:p>
      <w:pPr>
        <w:pStyle w:val="FirstParagraph"/>
      </w:pPr>
      <w:r>
        <w:rPr>
          <w:bCs/>
          <w:b/>
        </w:rPr>
        <w:t xml:space="preserve">P39. Na prática, o que protege mais: exaustor de fumaça na fonte ou N95/PFF2? Dá para substituir um pelo outro?</w:t>
      </w:r>
    </w:p>
    <w:p>
      <w:pPr>
        <w:pStyle w:val="BodyText"/>
      </w:pPr>
      <w:r>
        <w:t xml:space="preserve">Não dá para substituir, e a ordem é exaustão primeiro. Apoio-me na diretriz do NIOSH de 1996 sobre controle de fumaça em procedimentos a laser e eletrocirurgia: a evacuação local da fumaça na fonte é a medida principal de controle, e as máscaras de alta filtração, respiradores N95 ou PFF2, são complementares, porque retêm partículas mas não substituem a exaustão, sobretudo para gases e vapores. A terceira camada é a educação da equipe. Preciso ser transparente: a efetividade dessas medidas não foi avaliada na minha revisão, porque incluí estudos observacionais de efeitos à saúde, não estudos de intervenção; as recomendações decorrem de diretrizes de higiene ocupacional e do princípio da precaução, e se justificam pela carga sintomática documentada. O único dado sobre máscara que apareceu foi no estudo de Hu et al. (2021): nenhuma detecção de HPV entre os usuários de N95 (0 de 196) contra 13,98% com máscara comum (33 de 236), mas é comparação de subgrupo dentro dos expostos, sem ajuste, e o uso de N95 pode acompanhar outras características do serviço, então não sustenta sozinho inferência de efetividade. Na introdução também registro que a adoção de sistemas de exaustão ainda é limitada e que faltam diretrizes globais harmonizadas.</w:t>
      </w:r>
    </w:p>
    <w:p>
      <w:pPr>
        <w:pStyle w:val="BlockText"/>
      </w:pPr>
      <w:r>
        <w:t xml:space="preserve">Dica: Nível: médio. [Conhecimento geral] Se perguntarem por que exaustão vem antes de EPI, é a hierarquia de controles da higiene ocupacional: controle de engenharia na fonte antes de proteção individual. Se perguntarem da NR-32: Portaria MTE nº 485/2005, marco brasileiro geral de gerenciamento de riscos em serviços de saúde, que não trata especificamente da fumaça cirúrgica — não diga que ela</w:t>
      </w:r>
      <w:r>
        <w:t xml:space="preserve"> </w:t>
      </w:r>
      <w:r>
        <w:t xml:space="preserve">‘</w:t>
      </w:r>
      <w:r>
        <w:t xml:space="preserve">exige</w:t>
      </w:r>
      <w:r>
        <w:t xml:space="preserve">’</w:t>
      </w:r>
      <w:r>
        <w:t xml:space="preserve"> </w:t>
      </w:r>
      <w:r>
        <w:t xml:space="preserve">exaustor. O que NÃO dizer:</w:t>
      </w:r>
      <w:r>
        <w:t xml:space="preserve"> </w:t>
      </w:r>
      <w:r>
        <w:t xml:space="preserve">‘</w:t>
      </w:r>
      <w:r>
        <w:t xml:space="preserve">N95 elimina o risco</w:t>
      </w:r>
      <w:r>
        <w:t xml:space="preserve">’</w:t>
      </w:r>
      <w:r>
        <w:t xml:space="preserve">.</w:t>
      </w:r>
    </w:p>
    <w:p>
      <w:pPr>
        <w:pStyle w:val="FirstParagraph"/>
      </w:pPr>
      <w:r>
        <w:rPr>
          <w:bCs/>
          <w:b/>
        </w:rPr>
        <w:t xml:space="preserve">P40. Esses 37,6% são prevalência de quê, exatamente? Sintoma no momento, na última semana, alguma vez na carreira? E estamos falando de efeito agudo ou crônico?</w:t>
      </w:r>
    </w:p>
    <w:p>
      <w:pPr>
        <w:pStyle w:val="BodyText"/>
      </w:pPr>
      <w:r>
        <w:t xml:space="preserve">É a proporção combinada de profissionais que relataram o sintoma segundo a definição de cada estudo, e não uma prevalência temporalmente homogênea; o período de recordatório raramente foi informado e, nesses casos, registrei como não relatado no Anexo D. As definições do sintoma-índice ocular variaram: lacrimejamento durante a cirurgia em İlçe (2017) e Usta (2019), irritação ocular em Cinar e Sanlier (2022) e nos dois estudos malaios, e sintomas do sistema ocular por escala em Bieniek (2022), com prevalências individuais de 19,4% a 56,1%. Trata-se, portanto, de sintoma agudo autorrelatado relacionado à exposição, que é a condição do esquema CoCoPop, e não de doença crônica. No respiratório a variação foi ainda maior (tosse isolada, tosse e ardência de garganta, irritação de vias aéreas superiores, qualquer sintoma de vias aéreas superiores, escala por sistema), por isso o tratei como exploratório; restringir a definições específicas reduziu o I² de 91% para 61%, com 35,8% (IC95% 25,8–47,2), o que mostra que a definição responde por parte relevante da heterogeneidade. Os efeitos crônicos são outra camada: desfechos objetivos em estudos únicos e vazio de evidência para câncer e DPOC.</w:t>
      </w:r>
    </w:p>
    <w:p>
      <w:pPr>
        <w:pStyle w:val="BlockText"/>
      </w:pPr>
      <w:r>
        <w:t xml:space="preserve">Dica: Nível: médio. Não diga</w:t>
      </w:r>
      <w:r>
        <w:t xml:space="preserve"> </w:t>
      </w:r>
      <w:r>
        <w:t xml:space="preserve">‘</w:t>
      </w:r>
      <w:r>
        <w:t xml:space="preserve">prevalência pontual</w:t>
      </w:r>
      <w:r>
        <w:t xml:space="preserve">’</w:t>
      </w:r>
      <w:r>
        <w:t xml:space="preserve"> </w:t>
      </w:r>
      <w:r>
        <w:t xml:space="preserve">nem</w:t>
      </w:r>
      <w:r>
        <w:t xml:space="preserve"> </w:t>
      </w:r>
      <w:r>
        <w:t xml:space="preserve">‘</w:t>
      </w:r>
      <w:r>
        <w:t xml:space="preserve">prevalência na vida</w:t>
      </w:r>
      <w:r>
        <w:t xml:space="preserve">’</w:t>
      </w:r>
      <w:r>
        <w:t xml:space="preserve"> </w:t>
      </w:r>
      <w:r>
        <w:t xml:space="preserve">— você não tem o recordatório. A frase-chave é</w:t>
      </w:r>
      <w:r>
        <w:t xml:space="preserve"> </w:t>
      </w:r>
      <w:r>
        <w:t xml:space="preserve">‘</w:t>
      </w:r>
      <w:r>
        <w:t xml:space="preserve">proporção que relatou o sintoma, segundo a definição de cada estudo</w:t>
      </w:r>
      <w:r>
        <w:t xml:space="preserve">’</w:t>
      </w:r>
      <w:r>
        <w:t xml:space="preserve">. Tenha as definições do Anexo D na ponta da língua.</w:t>
      </w:r>
    </w:p>
    <w:p>
      <w:pPr>
        <w:pStyle w:val="FirstParagraph"/>
      </w:pPr>
      <w:r>
        <w:rPr>
          <w:bCs/>
          <w:b/>
        </w:rPr>
        <w:t xml:space="preserve">P41. Os estudos vêm de nove países. O quanto isso se aplica ao centro cirúrgico brasileiro?</w:t>
      </w:r>
    </w:p>
    <w:p>
      <w:pPr>
        <w:pStyle w:val="BodyText"/>
      </w:pPr>
      <w:r>
        <w:t xml:space="preserve">Aplica-se com cautela, mas o Brasil é o país com mais relatórios: oito dos 22, sendo sete de um mesmo grupo do Paraná, com coortes de sobreposição amostral parcial, e a tese de Canicoba (2025), da USP, sobre biomarcadores. Para evitar dupla contagem, esse cluster entrou nas metanálises por um único representante, Bieniek et al. (2022), com 155 participantes, que mostrou 43,2% de sintoma ocular e 55,5% de sintoma respiratório, medidos por escala de sinais e sintomas agregada por sistema, a definição mais ampla do agrupamento; o Brasil apareceu como estrato descritivo de 43,2% no desfecho ocular, próximo dos 37,6% combinados, e a exclusão desse estudo alterou pouco a estimativa (36,5%). O ponto importante é que a prevalência varia muito entre contextos: 50,5% na Turquia e 19,8% na Malásia no sintoma ocular, com intervalo de predição de 7 a 83%. Interpreto isso como possível papel de fatores contextuais, como disponibilidade e uso de exaustão e EPI, condições ambientais da sala e a forma de perguntar sobre sintomas, mas é análise exploratória e geradora de hipótese. Para um hospital brasileiro, o que eu levaria não é o 37,6% como se fosse local, e sim a mensagem de que a frequência depende das condições da sala e de que há dados nacionais apontando na mesma direção. E lembraria que a NR-32 é o marco geral, mas sem tratamento específico da fumaça.</w:t>
      </w:r>
    </w:p>
    <w:p>
      <w:pPr>
        <w:pStyle w:val="BlockText"/>
      </w:pPr>
      <w:r>
        <w:t xml:space="preserve">Dica: Nível: médio. Tenha os números brasileiros na ponta da língua (155; 43,2%; 55,5%) e lembre que vêm de escala por sistema, a categoria mais ampla. O que NÃO dizer:</w:t>
      </w:r>
      <w:r>
        <w:t xml:space="preserve"> </w:t>
      </w:r>
      <w:r>
        <w:t xml:space="preserve">‘</w:t>
      </w:r>
      <w:r>
        <w:t xml:space="preserve">no Brasil a prevalência é 43%</w:t>
      </w:r>
      <w:r>
        <w:t xml:space="preserve">’</w:t>
      </w:r>
      <w:r>
        <w:t xml:space="preserve"> </w:t>
      </w:r>
      <w:r>
        <w:t xml:space="preserve">sem avisar que é um único estudo de um único estado.</w:t>
      </w:r>
    </w:p>
    <w:p>
      <w:pPr>
        <w:pStyle w:val="FirstParagraph"/>
      </w:pPr>
      <w:r>
        <w:rPr>
          <w:bCs/>
          <w:b/>
        </w:rPr>
        <w:t xml:space="preserve">P42. Aplicando os critérios de Bradford Hill, quais você consegue sustentar para a relação entre fumaça cirúrgica e dano à saúde?</w:t>
      </w:r>
    </w:p>
    <w:p>
      <w:pPr>
        <w:pStyle w:val="BodyText"/>
      </w:pPr>
      <w:r>
        <w:t xml:space="preserve">Consigo sustentar alguns e tenho que admitir que outros não se aplicam; o nome</w:t>
      </w:r>
      <w:r>
        <w:t xml:space="preserve"> </w:t>
      </w:r>
      <w:r>
        <w:t xml:space="preserve">‘</w:t>
      </w:r>
      <w:r>
        <w:t xml:space="preserve">Bradford Hill</w:t>
      </w:r>
      <w:r>
        <w:t xml:space="preserve">’</w:t>
      </w:r>
      <w:r>
        <w:t xml:space="preserve"> </w:t>
      </w:r>
      <w:r>
        <w:t xml:space="preserve">é conhecimento geral, no manuscrito falo em</w:t>
      </w:r>
      <w:r>
        <w:t xml:space="preserve"> </w:t>
      </w:r>
      <w:r>
        <w:t xml:space="preserve">‘</w:t>
      </w:r>
      <w:r>
        <w:t xml:space="preserve">critérios de causalidade</w:t>
      </w:r>
      <w:r>
        <w:t xml:space="preserve">’</w:t>
      </w:r>
      <w:r>
        <w:t xml:space="preserve">, e o balanço é este. A favor: plausibilidade biológica, pela composição da fumaça, com benzeno, xileno, PM2,5 e DNA de HPV; gradiente biológico, porque tanto a função pulmonar em Ibrahim et al. (2025) quanto a detecção de HPV em Hu et al. (2021) pioram com maior tempo de exposição; e temporalidade, porque a metaplasia nasal em Navarro et al. (2016) veio de uma coorte de quatro anos em que a exposição precedeu a alteração. Não avaliável ou contra: a consistência não pode ser julgada, porque cada desfecho objetivo tem um único estudo; a força da associação tem estimativas pontuais grandes (RR 13,9 e 5,2), mas com intervalos muito amplos (2,0–95,8 e 1,9–14,2), e na coorte de Stanganelli Caus et al. (2025) a hazard ratio de 1,5 (IC95% 0,99–2,42) inclui o nulo; e a especificidade está comprometida pelas coexposições a gases anestésicos e radiação. Experimento e analogia eu não abordei no manuscrito. O que posso dizer é que a direção do efeito foi desfavorável aos expostos nos cinco estudos comparativos, mas isso configura sinal para investigação, não causalidade estabelecida, e a certeza é muito baixa para todos os desfechos.</w:t>
      </w:r>
    </w:p>
    <w:p>
      <w:pPr>
        <w:pStyle w:val="BlockText"/>
      </w:pPr>
      <w:r>
        <w:t xml:space="preserve">Dica: Nível: difícil. Organize em</w:t>
      </w:r>
      <w:r>
        <w:t xml:space="preserve"> </w:t>
      </w:r>
      <w:r>
        <w:t xml:space="preserve">‘</w:t>
      </w:r>
      <w:r>
        <w:t xml:space="preserve">a favor / não avaliável / contra</w:t>
      </w:r>
      <w:r>
        <w:t xml:space="preserve">’</w:t>
      </w:r>
      <w:r>
        <w:t xml:space="preserve">. O que NÃO dizer:</w:t>
      </w:r>
      <w:r>
        <w:t xml:space="preserve"> </w:t>
      </w:r>
      <w:r>
        <w:t xml:space="preserve">‘</w:t>
      </w:r>
      <w:r>
        <w:t xml:space="preserve">há consistência</w:t>
      </w:r>
      <w:r>
        <w:t xml:space="preserve">’</w:t>
      </w:r>
      <w:r>
        <w:t xml:space="preserve"> </w:t>
      </w:r>
      <w:r>
        <w:t xml:space="preserve">— você tem um estudo por desfecho; a direção comum entre desfechos diferentes não é o mesmo que replicação da mesma associação.</w:t>
      </w:r>
    </w:p>
    <w:bookmarkEnd w:id="105"/>
    <w:bookmarkStart w:id="106" w:name="lente-banca-crítica-pontos-fracos"/>
    <w:p>
      <w:pPr>
        <w:pStyle w:val="Heading3"/>
      </w:pPr>
      <w:r>
        <w:t xml:space="preserve">Lente: Banca crítica (pontos fracos)</w:t>
      </w:r>
    </w:p>
    <w:p>
      <w:pPr>
        <w:pStyle w:val="FirstParagraph"/>
      </w:pPr>
      <w:r>
        <w:rPr>
          <w:bCs/>
          <w:b/>
        </w:rPr>
        <w:t xml:space="preserve">P43. Esse 37,6% é 37,6% de quê, exatamente?</w:t>
      </w:r>
    </w:p>
    <w:p>
      <w:pPr>
        <w:pStyle w:val="BodyText"/>
      </w:pPr>
      <w:r>
        <w:t xml:space="preserve">É a proporção combinada de profissionais de centro cirúrgico que relataram sintoma ocular, irritação ou lacrimejamento atribuído à fumaça, segundo a definição de cada estudo, em seis amostras independentes de inquéritos transversais: 756 pessoas de três países, Turquia, Malásia e Brasil. Não é uma prevalência de período, porque o recordatório raramente foi informado e as definições variaram, de lacrimejamento durante a cirurgia a sintomas do sistema ocular medidos por escala, tudo detalhado no Anexo D. Não é a frequência do sintoma aferida de forma independente: os questionários já apresentavam os sintomas como relacionados à fumaça, o que gera viés de atribuição. E não é excesso sobre uma linha de base, porque não há grupo não exposto. O que posso afirmar é que, nessas amostras, entre 19,4% e 56,1% relataram o sintoma, e que a melhor síntese desse conjunto é 37,6%, com IC95% de 21,9% a 56,5% e intervalo de predição de 7% a 83%.</w:t>
      </w:r>
    </w:p>
    <w:p>
      <w:pPr>
        <w:pStyle w:val="BlockText"/>
      </w:pPr>
      <w:r>
        <w:t xml:space="preserve">Dica: Dificuldade: média. Responda em uma frase completa com população, desfecho, definição, n e países, e depois enumere o que o número NÃO é. Nunca diga</w:t>
      </w:r>
      <w:r>
        <w:t xml:space="preserve"> </w:t>
      </w:r>
      <w:r>
        <w:t xml:space="preserve">‘</w:t>
      </w:r>
      <w:r>
        <w:t xml:space="preserve">a prevalência mundial</w:t>
      </w:r>
      <w:r>
        <w:t xml:space="preserve">’</w:t>
      </w:r>
      <w:r>
        <w:t xml:space="preserve"> </w:t>
      </w:r>
      <w:r>
        <w:t xml:space="preserve">ou</w:t>
      </w:r>
      <w:r>
        <w:t xml:space="preserve"> </w:t>
      </w:r>
      <w:r>
        <w:t xml:space="preserve">‘</w:t>
      </w:r>
      <w:r>
        <w:t xml:space="preserve">a prevalência na equipe cirúrgica</w:t>
      </w:r>
      <w:r>
        <w:t xml:space="preserve">’</w:t>
      </w:r>
      <w:r>
        <w:t xml:space="preserve"> </w:t>
      </w:r>
      <w:r>
        <w:t xml:space="preserve">sem qualificar.</w:t>
      </w:r>
    </w:p>
    <w:p>
      <w:pPr>
        <w:pStyle w:val="FirstParagraph"/>
      </w:pPr>
      <w:r>
        <w:rPr>
          <w:bCs/>
          <w:b/>
        </w:rPr>
        <w:t xml:space="preserve">P44. A metanálise não tem grupo controle. Como vocês se permitem falar em risco à saúde?</w:t>
      </w:r>
    </w:p>
    <w:p>
      <w:pPr>
        <w:pStyle w:val="BodyText"/>
      </w:pPr>
      <w:r>
        <w:t xml:space="preserve">A metanálise não fala em risco, e isso está explícito no resumo, na introdução e nas limitações: ela estima a frequência de sintomas em populações expostas, e sem grupo não exposto não há como estimar excesso sobre a linha de base. A linguagem de risco vem de outra camada da síntese: cinco estudos com grupo não exposto, todos com direção desfavorável aos expostos: HPV-DNA nasal com RR 5,2 (IC95% 1,9–14,2), metaplasia nasal em coorte de quatro anos com RR 13,9 (IC95% 2,0–95,8), função pulmonar menor com p = 0,001, biomarcadores urinários elevados sem medida de efeito, e uma coorte com HR 1,5 cujo intervalo inclui o nulo (0,99–2,42). Mesmo aí não combino esses estudos nem concluo doença crônica atribuível, porque cada desfecho tem um único estudo, sem ajuste adequado e com coexposição a gases anestésicos e radiação. E na prevalência há vieses nas duas direções: o viés de atribuição tende a superestimar e o efeito do trabalhador sadio, a subestimar. Por isso o termo que uso é carga sintomática, e a proteção se justifica pelo princípio da precaução, não por um risco atribuível que eu não estimei.</w:t>
      </w:r>
    </w:p>
    <w:p>
      <w:pPr>
        <w:pStyle w:val="BlockText"/>
      </w:pPr>
      <w:r>
        <w:t xml:space="preserve">Dica: Dificuldade: média. Separe as duas camadas na fala:</w:t>
      </w:r>
      <w:r>
        <w:t xml:space="preserve"> </w:t>
      </w:r>
      <w:r>
        <w:t xml:space="preserve">‘</w:t>
      </w:r>
      <w:r>
        <w:t xml:space="preserve">prevalência</w:t>
      </w:r>
      <w:r>
        <w:t xml:space="preserve">’</w:t>
      </w:r>
      <w:r>
        <w:t xml:space="preserve"> </w:t>
      </w:r>
      <w:r>
        <w:t xml:space="preserve">(sem controle) e</w:t>
      </w:r>
      <w:r>
        <w:t xml:space="preserve"> </w:t>
      </w:r>
      <w:r>
        <w:t xml:space="preserve">‘</w:t>
      </w:r>
      <w:r>
        <w:t xml:space="preserve">desfechos comparativos</w:t>
      </w:r>
      <w:r>
        <w:t xml:space="preserve">’</w:t>
      </w:r>
      <w:r>
        <w:t xml:space="preserve"> </w:t>
      </w:r>
      <w:r>
        <w:t xml:space="preserve">(com controle). Não use a palavra</w:t>
      </w:r>
      <w:r>
        <w:t xml:space="preserve"> </w:t>
      </w:r>
      <w:r>
        <w:t xml:space="preserve">‘</w:t>
      </w:r>
      <w:r>
        <w:t xml:space="preserve">risco</w:t>
      </w:r>
      <w:r>
        <w:t xml:space="preserve">’</w:t>
      </w:r>
      <w:r>
        <w:t xml:space="preserve"> </w:t>
      </w:r>
      <w:r>
        <w:t xml:space="preserve">para a metanálise em nenhum momento da apresentação.</w:t>
      </w:r>
    </w:p>
    <w:p>
      <w:pPr>
        <w:pStyle w:val="FirstParagraph"/>
      </w:pPr>
      <w:r>
        <w:rPr>
          <w:bCs/>
          <w:b/>
        </w:rPr>
        <w:t xml:space="preserve">P45. A inteligência artificial fez a triagem por você?</w:t>
      </w:r>
    </w:p>
    <w:p>
      <w:pPr>
        <w:pStyle w:val="BodyText"/>
      </w:pPr>
      <w:r>
        <w:t xml:space="preserve">Não. Os 10.910 registros únicos foram lidos por título e resumo e julgados individualmente por mim; toda decisão de elegibilidade, a extração, a interpretação e a redação foram humanas. O que a automação fez foi ordenar a fila de leitura: um script em Python com regras de palavras-chave alinhadas aos critérios, disponível no repositório, e um assistente de linguagem (Claude Opus, da Anthropic, usado entre julho e agosto de 2026) que apoiou a priorização, a leitura assistida de resumos e a organização do fluxo, em abordagem análoga às ferramentas de revisão assistida por aprendizado de máquina de Van de Schoot (2021). A IA não excluiu nenhum registro e nenhum conteúdo gerado por ela entrou sem verificação humana. Reconheço que priorizar a ordem pode, em tese, influenciar a atenção do revisor ao longo da fila; por isso todos os registros foram lidos, não apenas os primeiros. O uso está declarado nos métodos e nas declarações, com registros de uso no OSF, conforme a Portaria CNPq nº 2.664, de março de 2026.</w:t>
      </w:r>
    </w:p>
    <w:p>
      <w:pPr>
        <w:pStyle w:val="BlockText"/>
      </w:pPr>
      <w:r>
        <w:t xml:space="preserve">Dica: Dificuldade: média. Diga o</w:t>
      </w:r>
      <w:r>
        <w:t xml:space="preserve"> </w:t>
      </w:r>
      <w:r>
        <w:t xml:space="preserve">‘</w:t>
      </w:r>
      <w:r>
        <w:t xml:space="preserve">não</w:t>
      </w:r>
      <w:r>
        <w:t xml:space="preserve">’</w:t>
      </w:r>
      <w:r>
        <w:t xml:space="preserve"> </w:t>
      </w:r>
      <w:r>
        <w:t xml:space="preserve">e o número 10.910 logo na primeira frase. Não minimize o uso da IA nem esconda o nome da ferramenta; a transparência declarada é o seu ponto forte aqui.</w:t>
      </w:r>
    </w:p>
    <w:p>
      <w:pPr>
        <w:pStyle w:val="FirstParagraph"/>
      </w:pPr>
      <w:r>
        <w:rPr>
          <w:bCs/>
          <w:b/>
        </w:rPr>
        <w:t xml:space="preserve">P46. Por que incluir um resumo de congresso em uma metanálise? Isso não contamina a estimativa?</w:t>
      </w:r>
    </w:p>
    <w:p>
      <w:pPr>
        <w:pStyle w:val="BodyText"/>
      </w:pPr>
      <w:r>
        <w:t xml:space="preserve">Porque o critério está nos critérios de elegibilidade e não foi inventado durante a análise: resumos só entrariam se informassem população, cenário, definição do desfecho, número de eventos e denominador. O resumo de Mohd Fikri Rosely (2022), do Hospital Kuala Lumpur, com 196 participantes, cumpriu isso; o de Kofoed (2014) não cumpriu e foi excluído, como consta no Anexo C. Essa admissão está declarada como decisão posterior ao registro no PROSPERO, tomada de forma independente dos resultados. Em um campo com seis ou sete estudos por desfecho, descartar dados numéricos válidos reduz ainda mais a base, e a literatura cinzenta ajuda justamente a mitigar viés de publicação. O custo é o relato metodológico incompleto, e eu o tratei de duas formas: classifiquei o resumo como preocupação alta com viés, por não permitir julgar amostragem, mensuração e taxa de resposta, e refiz a análise sem ele: ocular 42,1% (IC95% 24,8–61,7; I² 89%; cinco estudos) e respiratória 42,4% (IC95% 28,7–57,5; I² 90%; seis estudos), sem mudar a conclusão. Onde ele pesa de verdade é no subgrupo da Malásia, que fica com um único estudo sem ele; por isso essa análise é apenas exploratória.</w:t>
      </w:r>
    </w:p>
    <w:p>
      <w:pPr>
        <w:pStyle w:val="BlockText"/>
      </w:pPr>
      <w:r>
        <w:t xml:space="preserve">Dica: Dificuldade: média. Atalho:</w:t>
      </w:r>
      <w:r>
        <w:t xml:space="preserve"> </w:t>
      </w:r>
      <w:r>
        <w:t xml:space="preserve">‘</w:t>
      </w:r>
      <w:r>
        <w:t xml:space="preserve">critério explícito + análise de sensibilidade com números</w:t>
      </w:r>
      <w:r>
        <w:t xml:space="preserve">’</w:t>
      </w:r>
      <w:r>
        <w:t xml:space="preserve">. Não diga</w:t>
      </w:r>
      <w:r>
        <w:t xml:space="preserve"> </w:t>
      </w:r>
      <w:r>
        <w:t xml:space="preserve">‘</w:t>
      </w:r>
      <w:r>
        <w:t xml:space="preserve">precisava de mais estudos</w:t>
      </w:r>
      <w:r>
        <w:t xml:space="preserve">’</w:t>
      </w:r>
      <w:r>
        <w:t xml:space="preserve"> </w:t>
      </w:r>
      <w:r>
        <w:t xml:space="preserve">como motivo principal; isso soa como conveniência. Se a banca lembrar que foi decisão pós-registro, concorde e diga que está declarada como tal.</w:t>
      </w:r>
    </w:p>
    <w:p>
      <w:pPr>
        <w:pStyle w:val="FirstParagraph"/>
      </w:pPr>
      <w:r>
        <w:rPr>
          <w:bCs/>
          <w:b/>
        </w:rPr>
        <w:t xml:space="preserve">P47. Com I² de 93%, para que serve combinar os estudos? Esse 37,6% tem algum sentido?</w:t>
      </w:r>
    </w:p>
    <w:p>
      <w:pPr>
        <w:pStyle w:val="BodyText"/>
      </w:pPr>
      <w:r>
        <w:t xml:space="preserve">Concordo que, com I² de 93%, a estimativa pontual sozinha diz pouco, e por isso ela nunca aparece desacompanhada: o intervalo de predição ocular é de 7% a 83%, e é para ele que peço que o leitor olhe, mesmo sabendo que, com seis estudos, ele é instável, como registro nos métodos. Como conhecimento geral, o I² mede a proporção da variabilidade que não é acaso, não o tamanho da diferença entre estudos, e em metanálise de prevalência ele quase sempre é alto. Neste trabalho, tau² foi 0,493 na escala logito e as prevalências individuais foram de 19,4% a 56,1%. Combinar serviu para estimar o centro dessa distribuição com um intervalo honesto, pelo ajuste de Hartung-Knapp, quantificar a dispersão esperada em um novo estudo e investigar a origem da variação. E ela veio de algo identificável: no ocular, estratificar por país reduziu a heterogeneidade intragrupo (Turquia 57%, Malásia 0%); no respiratório, restringir a definições específicas derrubou o I² de 91% para 61%; já retirar Bieniek (2022) do ocular manteve o I² em 94%, ou seja, não depende de um único estudo. A alternativa, uma síntese narrativa, esconderia a mesma heterogeneidade sem medi-la.</w:t>
      </w:r>
    </w:p>
    <w:p>
      <w:pPr>
        <w:pStyle w:val="BlockText"/>
      </w:pPr>
      <w:r>
        <w:t xml:space="preserve">Dica: Dificuldade: alta. Atalho:</w:t>
      </w:r>
      <w:r>
        <w:t xml:space="preserve"> </w:t>
      </w:r>
      <w:r>
        <w:t xml:space="preserve">‘</w:t>
      </w:r>
      <w:r>
        <w:t xml:space="preserve">o número importante não é 37,6%, é 7 a 83%</w:t>
      </w:r>
      <w:r>
        <w:t xml:space="preserve">’</w:t>
      </w:r>
      <w:r>
        <w:t xml:space="preserve">. Não defenda o 37,6% como</w:t>
      </w:r>
      <w:r>
        <w:t xml:space="preserve"> </w:t>
      </w:r>
      <w:r>
        <w:t xml:space="preserve">‘</w:t>
      </w:r>
      <w:r>
        <w:t xml:space="preserve">a prevalência</w:t>
      </w:r>
      <w:r>
        <w:t xml:space="preserve">’</w:t>
      </w:r>
      <w:r>
        <w:t xml:space="preserve">; defenda a distribuição e as fontes de variação. Se a banca disser que o intervalo de predição é instável com 6 estudos, concorde na hora: você mesmo escreveu isso.</w:t>
      </w:r>
    </w:p>
    <w:p>
      <w:pPr>
        <w:pStyle w:val="FirstParagraph"/>
      </w:pPr>
      <w:r>
        <w:rPr>
          <w:bCs/>
          <w:b/>
        </w:rPr>
        <w:t xml:space="preserve">P48. A certeza foi muito baixa para todos os desfechos. Qual é a utilidade prática de uma revisão assim?</w:t>
      </w:r>
    </w:p>
    <w:p>
      <w:pPr>
        <w:pStyle w:val="BodyText"/>
      </w:pPr>
      <w:r>
        <w:t xml:space="preserve">A utilidade é dizer com honestidade quanto se pode confiar em cada estimativa, em vez de apresentar 37,6% como verdade. Como conhecimento geral, muito baixa no GRADE significa que a estimativa real pode ser substancialmente diferente; os motivos estão explicitados por domínio no Anexo F: risco de viés por amostragem não probabilística e desfecho autorrelatado, inconsistência muito grave com I² acima de 90% e imprecisão por intervalos amplos. Ainda assim, três coisas são úteis. Primeiro, mesmo o estudo com a menor prevalência ocular relatou 19,4%, e qualquer sintoma chegou a 55,6% e 73,2%: a carga sintomática é relevante em qualquer cenário plausível. Segundo, a revisão delimitou com rigor o vazio de evidência, nenhum estudo sobre câncer ou DPOC na equipe cirúrgica, o que transforma</w:t>
      </w:r>
      <w:r>
        <w:t xml:space="preserve"> </w:t>
      </w:r>
      <w:r>
        <w:t xml:space="preserve">‘</w:t>
      </w:r>
      <w:r>
        <w:t xml:space="preserve">faltam dados</w:t>
      </w:r>
      <w:r>
        <w:t xml:space="preserve">’</w:t>
      </w:r>
      <w:r>
        <w:t xml:space="preserve"> </w:t>
      </w:r>
      <w:r>
        <w:t xml:space="preserve">em agenda de pesquisa específica. Terceiro, certeza muito baixa é exatamente o terreno do princípio da precaução, que não exige certeza alta para justificar proteção. Registro ainda que parti de certeza baixa por decisão metodológica; se partisse de alta, como Murad (2017) e Migliavaca (2020) sugerem para prevalência, o resultado continuaria muito baixo pelos rebaixamentos graves.</w:t>
      </w:r>
    </w:p>
    <w:p>
      <w:pPr>
        <w:pStyle w:val="BlockText"/>
      </w:pPr>
      <w:r>
        <w:t xml:space="preserve">Dica: Dificuldade: alta. Não diga</w:t>
      </w:r>
      <w:r>
        <w:t xml:space="preserve"> </w:t>
      </w:r>
      <w:r>
        <w:t xml:space="preserve">‘</w:t>
      </w:r>
      <w:r>
        <w:t xml:space="preserve">a evidência é fraca mesmo</w:t>
      </w:r>
      <w:r>
        <w:t xml:space="preserve">’</w:t>
      </w:r>
      <w:r>
        <w:t xml:space="preserve">. Diga</w:t>
      </w:r>
      <w:r>
        <w:t xml:space="preserve"> </w:t>
      </w:r>
      <w:r>
        <w:t xml:space="preserve">‘</w:t>
      </w:r>
      <w:r>
        <w:t xml:space="preserve">a certeza é baixa e eu mostro por quê</w:t>
      </w:r>
      <w:r>
        <w:t xml:space="preserve">’</w:t>
      </w:r>
      <w:r>
        <w:t xml:space="preserve"> </w:t>
      </w:r>
      <w:r>
        <w:t xml:space="preserve">e converta em dois produtos concretos: o vazio de evidência mapeado e a precaução justificada.</w:t>
      </w:r>
    </w:p>
    <w:p>
      <w:pPr>
        <w:pStyle w:val="FirstParagraph"/>
      </w:pPr>
      <w:r>
        <w:rPr>
          <w:bCs/>
          <w:b/>
        </w:rPr>
        <w:t xml:space="preserve">P49. Você mudou o protocolo depois do registro no PROSPERO?</w:t>
      </w:r>
    </w:p>
    <w:p>
      <w:pPr>
        <w:pStyle w:val="BodyText"/>
      </w:pPr>
      <w:r>
        <w:t xml:space="preserve">Sim, e isso está relatado em seção própria,</w:t>
      </w:r>
      <w:r>
        <w:t xml:space="preserve"> </w:t>
      </w:r>
      <w:r>
        <w:t xml:space="preserve">‘</w:t>
      </w:r>
      <w:r>
        <w:t xml:space="preserve">Decisões posteriores ao registro</w:t>
      </w:r>
      <w:r>
        <w:t xml:space="preserve">’</w:t>
      </w:r>
      <w:r>
        <w:t xml:space="preserve">, como pede o item 24 do PRISMA 2020. O registro CRD420251238727 foi feito antes da extração; depois dele, delimitei a população como equipe de centro cirúrgico, defini o sintoma ocular como principal e o respiratório como exploratório pela variação de definição, escolhi o modelo logito com Hartung-Knapp como principal, adotei a regra de um relatório por população sobreposta, tratei as análises por país e de influência como exploratórias e admiti resumos de congresso com dados numéricos. Duas decisões foram tomadas já durante a análise: a regra do sintoma-índice mais específico e as análises de sensibilidade restritas a definições específicas. Reconheço que decisões durante a análise abrem espaço para escolhas dependentes dos resultados; para mitigar, elas foram tomadas de forma independente dos resultados de cada estudo, e eu reporto os dois lados: sem o estudo de escala por sistema, o ocular foi 36,5% em vez de 37,6%; restrito a definições específicas, o respiratório foi 35,8% em vez de 41,7%, com I² caindo de 91% para 61%. Nada foi omitido nem trocado silenciosamente.</w:t>
      </w:r>
    </w:p>
    <w:p>
      <w:pPr>
        <w:pStyle w:val="BlockText"/>
      </w:pPr>
      <w:r>
        <w:t xml:space="preserve">Dica: Dificuldade: alta. Não diga</w:t>
      </w:r>
      <w:r>
        <w:t xml:space="preserve"> </w:t>
      </w:r>
      <w:r>
        <w:t xml:space="preserve">‘</w:t>
      </w:r>
      <w:r>
        <w:t xml:space="preserve">não mudei</w:t>
      </w:r>
      <w:r>
        <w:t xml:space="preserve">’</w:t>
      </w:r>
      <w:r>
        <w:t xml:space="preserve"> </w:t>
      </w:r>
      <w:r>
        <w:t xml:space="preserve">nem</w:t>
      </w:r>
      <w:r>
        <w:t xml:space="preserve"> </w:t>
      </w:r>
      <w:r>
        <w:t xml:space="preserve">‘</w:t>
      </w:r>
      <w:r>
        <w:t xml:space="preserve">foram ajustes menores</w:t>
      </w:r>
      <w:r>
        <w:t xml:space="preserve">’</w:t>
      </w:r>
      <w:r>
        <w:t xml:space="preserve">. Liste as mudanças de cabeça, mostre que todas estão escritas e que os dois cenários foram reportados. Transparência vence aqui.</w:t>
      </w:r>
    </w:p>
    <w:p>
      <w:pPr>
        <w:pStyle w:val="FirstParagraph"/>
      </w:pPr>
      <w:r>
        <w:rPr>
          <w:bCs/>
          <w:b/>
        </w:rPr>
        <w:t xml:space="preserve">P50. Seis relatórios potencialmente elegíveis não foram recuperados. Isso compromete a metanálise?</w:t>
      </w:r>
    </w:p>
    <w:p>
      <w:pPr>
        <w:pStyle w:val="BodyText"/>
      </w:pPr>
      <w:r>
        <w:t xml:space="preserve">Pode comprometer, e eu não sei em que direção, porque não li esses textos. Foram 6 de 32 textos completos buscados, cerca de 19%, todos listados no Anexo C com base e motivo: pelo menos dois são inquéritos de sintomas (Navarro-Meza 2013, do México; Gjini 2025, da Itália) e um é um estudo objetivo de olho seco (Ekicier Acar 2024), que poderiam ter entrado nos agrupamentos. Tentei acesso institucional, repositórios e bases de preprints, páginas dos autores, comutação bibliográfica e contato com os autores correspondentes quando havia endereço, sem sucesso. Com seis ou sete estudos por desfecho, dois ou três inquéritos a mais poderiam deslocar a estimativa pontual; por outro lado, o intervalo de predição de 7% a 83% já acomoda praticamente qualquer prevalência plausível que esses estudos trariam. Registrei isso na apreciação qualitativa do viés de relato e nas limitações, sem rebaixar o GRADE por esse domínio, porque a busca foi ampla, com sete bases, literatura cinzenta e busca por citação, mas também sem afirmar que o viés está excluído.</w:t>
      </w:r>
    </w:p>
    <w:p>
      <w:pPr>
        <w:pStyle w:val="BlockText"/>
      </w:pPr>
      <w:r>
        <w:t xml:space="preserve">Dica: Dificuldade: alta. Não diga</w:t>
      </w:r>
      <w:r>
        <w:t xml:space="preserve"> </w:t>
      </w:r>
      <w:r>
        <w:t xml:space="preserve">‘</w:t>
      </w:r>
      <w:r>
        <w:t xml:space="preserve">não faria diferença</w:t>
      </w:r>
      <w:r>
        <w:t xml:space="preserve">’</w:t>
      </w:r>
      <w:r>
        <w:t xml:space="preserve">. Diga</w:t>
      </w:r>
      <w:r>
        <w:t xml:space="preserve"> </w:t>
      </w:r>
      <w:r>
        <w:t xml:space="preserve">‘</w:t>
      </w:r>
      <w:r>
        <w:t xml:space="preserve">não sei a direção</w:t>
      </w:r>
      <w:r>
        <w:t xml:space="preserve">’</w:t>
      </w:r>
      <w:r>
        <w:t xml:space="preserve">, mostre as tentativas e use o intervalo de predição como contexto, não como desculpa.</w:t>
      </w:r>
    </w:p>
    <w:p>
      <w:pPr>
        <w:pStyle w:val="FirstParagraph"/>
      </w:pPr>
      <w:r>
        <w:rPr>
          <w:bCs/>
          <w:b/>
        </w:rPr>
        <w:t xml:space="preserve">P51. Por que você não contatou os autores dos estudos para obter dados adicionais?</w:t>
      </w:r>
    </w:p>
    <w:p>
      <w:pPr>
        <w:pStyle w:val="BodyText"/>
      </w:pPr>
      <w:r>
        <w:t xml:space="preserve">Preciso separar duas coisas. Para os seis textos não recuperados, contatei os autores correspondentes quando havia endereço, sem resposta. Para dados adicionais dos estudos incluídos, não contatei, e isso está declarado nos métodos como decisão da etapa de extração. O custo é concreto e eu o assumo: o maior inquérito elegível, Van Giersbergen (2019), com 672 participantes, não entrou no agrupamento ocular por falta de numerador extraível, e Bieniek (2025), com 343, mediu o desfecho ocular pela escala EASE, de intensidade, sem numerador global, o que impediu trocar o representante do cluster brasileiro em análise de sensibilidade. Com dados dos autores, o desfecho principal poderia ter ido de 756 para 1.428 participantes, o mesmo n do respiratório. A mitigação foi usar apenas o que era verificável no texto publicado, o que dá rastreabilidade total aos números do Anexo D, e testar a robustez por exclusão sequencial, que manteve o ocular entre 34,3% e 42,1%. Em uma atualização, o contato com autores é o primeiro passo que eu daria.</w:t>
      </w:r>
    </w:p>
    <w:p>
      <w:pPr>
        <w:pStyle w:val="BlockText"/>
      </w:pPr>
      <w:r>
        <w:t xml:space="preserve">Dica: Dificuldade: alta. Cuidado: não diga que</w:t>
      </w:r>
      <w:r>
        <w:t xml:space="preserve"> </w:t>
      </w:r>
      <w:r>
        <w:t xml:space="preserve">‘</w:t>
      </w:r>
      <w:r>
        <w:t xml:space="preserve">ninguém foi contatado</w:t>
      </w:r>
      <w:r>
        <w:t xml:space="preserve">’</w:t>
      </w:r>
      <w:r>
        <w:t xml:space="preserve">; o Anexo C registra contato para os textos não recuperados. Assuma o custo com os números 672 e 343 antes que a banca os cite.</w:t>
      </w:r>
    </w:p>
    <w:p>
      <w:pPr>
        <w:pStyle w:val="FirstParagraph"/>
      </w:pPr>
      <w:r>
        <w:rPr>
          <w:bCs/>
          <w:b/>
        </w:rPr>
        <w:t xml:space="preserve">P52. A Malásia ter prevalência menor não prova que proteção funciona, certo?</w:t>
      </w:r>
    </w:p>
    <w:p>
      <w:pPr>
        <w:pStyle w:val="BodyText"/>
      </w:pPr>
      <w:r>
        <w:t xml:space="preserve">Certo, não prova, e eu escrevo isso: a análise por país foi exploratória, deve ser lida como geradora de hipótese, e o teste entre subgrupos, com p &lt; 0,001, não deve ser interpretado como moderação causal. A Malásia está representada por dois relatórios, 333 participantes, um deles resumo de congresso; sem ele, sobra um único estudo. E há explicações alternativas mais prováveis que a proteção: o estudo malaio de 2019 foi o único dos sete com amostragem aleatória estratificada e cálculo de tamanho amostral, enquanto os demais, inclusive os três turcos, usaram amostragem não probabilística, que, como conhecimento geral, tende a atrair quem tem sintomas; além disso, definições e instrumentos diferem entre os países. A proteção não foi medida como moderador nesta revisão; a disponibilidade de exaustão e de equipamentos é apenas um dos fatores contextuais que listo como plausíveis, ao lado das condições ambientais e da forma de aferir e relatar sintomas. O que a estratificação mostra é que a heterogeneidade caiu dentro de cada país (Turquia I² 57%, Malásia 0%), ou seja, que o contexto importa, não qual aspecto do contexto.</w:t>
      </w:r>
    </w:p>
    <w:p>
      <w:pPr>
        <w:pStyle w:val="BlockText"/>
      </w:pPr>
      <w:r>
        <w:t xml:space="preserve">Dica: Dificuldade: alta. Concorde de imediato e ofereça você mesmo a explicação alternativa (amostragem). Não deixe a banca ser a primeira a dizer</w:t>
      </w:r>
      <w:r>
        <w:t xml:space="preserve"> </w:t>
      </w:r>
      <w:r>
        <w:t xml:space="preserve">‘</w:t>
      </w:r>
      <w:r>
        <w:t xml:space="preserve">comparação ecológica</w:t>
      </w:r>
      <w:r>
        <w:t xml:space="preserve">’</w:t>
      </w:r>
      <w:r>
        <w:t xml:space="preserve">.</w:t>
      </w:r>
    </w:p>
    <w:p>
      <w:pPr>
        <w:pStyle w:val="FirstParagraph"/>
      </w:pPr>
      <w:r>
        <w:rPr>
          <w:bCs/>
          <w:b/>
        </w:rPr>
        <w:t xml:space="preserve">P53. No estudo de HPV, zero detecção entre usuários de N95. Isso prova que a máscara protege?</w:t>
      </w:r>
    </w:p>
    <w:p>
      <w:pPr>
        <w:pStyle w:val="BodyText"/>
      </w:pPr>
      <w:r>
        <w:t xml:space="preserve">Não prova, e eu digo isso no texto: é uma comparação de subgrupo dentro dos expostos, 0 de 196 com N95 contra 33 de 236, ou 13,98%, com máscara comum, sem ajuste para confundidores, em estudo transversal com uso de máscara autorrelatado. Quem usa N95 pode trabalhar em serviços com outras características de prática e de ambiente, e qualquer delas explicaria o zero sem a máscara ter efeito próprio. Há ainda a limitação do próprio desfecho: HPV-DNA na mucosa nasal é marcador de detecção, que pode refletir deposição transitória de partículas, não infecção estabelecida, infectividade ou doença. O que o achado oferece é plausibilidade e hipótese, coerente com a direção geral do estudo de Hu (2021), em que a detecção foi maior nos expostos (8,96% contra 1,73%; RR 5,2; IC95% 1,9–14,2) e crescia com o tempo de eletrocirurgia. Por isso a recomendação de N95 ou PFF2 não se apoia nesse dado, e sim nas diretrizes de higiene ocupacional, com a exaustão na fonte como medida principal e a máscara como complemento, porque retém partículas, mas não gases.</w:t>
      </w:r>
    </w:p>
    <w:p>
      <w:pPr>
        <w:pStyle w:val="BlockText"/>
      </w:pPr>
      <w:r>
        <w:t xml:space="preserve">Dica: Dificuldade: muito alta. Não se empolgue com o zero. Entregue a frase</w:t>
      </w:r>
      <w:r>
        <w:t xml:space="preserve"> </w:t>
      </w:r>
      <w:r>
        <w:t xml:space="preserve">‘</w:t>
      </w:r>
      <w:r>
        <w:t xml:space="preserve">subgrupo dentro dos expostos, sem ajuste</w:t>
      </w:r>
      <w:r>
        <w:t xml:space="preserve">’</w:t>
      </w:r>
      <w:r>
        <w:t xml:space="preserve"> </w:t>
      </w:r>
      <w:r>
        <w:t xml:space="preserve">na primeira frase e redirecione para a hierarquia de controle (exaustão primeiro).</w:t>
      </w:r>
    </w:p>
    <w:p>
      <w:pPr>
        <w:pStyle w:val="FirstParagraph"/>
      </w:pPr>
      <w:r>
        <w:rPr>
          <w:bCs/>
          <w:b/>
        </w:rPr>
        <w:t xml:space="preserve">P54. Por que o sintoma ocular é o desfecho principal, se o respiratório tem mais estudos e quase o dobro de participantes?</w:t>
      </w:r>
    </w:p>
    <w:p>
      <w:pPr>
        <w:pStyle w:val="BodyText"/>
      </w:pPr>
      <w:r>
        <w:t xml:space="preserve">Porque a definição do desfecho é mais homogênea no ocular: os seis estudos mediram irritação ou lacrimejamento, enquanto no respiratório as definições vão de tosse isolada a</w:t>
      </w:r>
      <w:r>
        <w:t xml:space="preserve"> </w:t>
      </w:r>
      <w:r>
        <w:t xml:space="preserve">‘</w:t>
      </w:r>
      <w:r>
        <w:t xml:space="preserve">qualquer sintoma de vias aéreas superiores</w:t>
      </w:r>
      <w:r>
        <w:t xml:space="preserve">’</w:t>
      </w:r>
      <w:r>
        <w:t xml:space="preserve">, como em Van Giersbergen (2019), que sozinho traz 672 dos 1.428 participantes. Com definições tão díspares, a estimativa combinada mistura coisas diferentes, e por isso o respiratório ficou como exploratório; a decisão está registrada na seção de decisões posteriores ao registro, com exatamente essa justificativa. O custo é que o desfecho principal se apoia em 756 participantes de estudos menores, e eu registro isso como fragilidade específica nas limitações. Os dados confirmam a escolha: no respiratório, restringir a definições específicas mudou a estimativa de 41,7% para 35,8% e derrubou o I² de 91% para 61%; no ocular, excluir o estudo de categoria mais ampla, Bieniek (2022), quase não mexeu na estimativa, de 37,6% para 36,5%. Tamanho de amostra não substitui comparabilidade do desfecho.</w:t>
      </w:r>
    </w:p>
    <w:p>
      <w:pPr>
        <w:pStyle w:val="BlockText"/>
      </w:pPr>
      <w:r>
        <w:t xml:space="preserve">Dica: Dificuldade: alta. Frase-chave:</w:t>
      </w:r>
      <w:r>
        <w:t xml:space="preserve"> </w:t>
      </w:r>
      <w:r>
        <w:t xml:space="preserve">‘</w:t>
      </w:r>
      <w:r>
        <w:t xml:space="preserve">homogeneidade da definição, não tamanho da amostra</w:t>
      </w:r>
      <w:r>
        <w:t xml:space="preserve">’</w:t>
      </w:r>
      <w:r>
        <w:t xml:space="preserve">. Cite os dois testes (35,8%/61% versus 36,5%/94%). Não diga</w:t>
      </w:r>
      <w:r>
        <w:t xml:space="preserve"> </w:t>
      </w:r>
      <w:r>
        <w:t xml:space="preserve">‘</w:t>
      </w:r>
      <w:r>
        <w:t xml:space="preserve">foi arbitrário</w:t>
      </w:r>
      <w:r>
        <w:t xml:space="preserve">’</w:t>
      </w:r>
      <w:r>
        <w:t xml:space="preserve"> </w:t>
      </w:r>
      <w:r>
        <w:t xml:space="preserve">nem</w:t>
      </w:r>
      <w:r>
        <w:t xml:space="preserve"> </w:t>
      </w:r>
      <w:r>
        <w:t xml:space="preserve">‘</w:t>
      </w:r>
      <w:r>
        <w:t xml:space="preserve">o ocular deu resultado mais limpo</w:t>
      </w:r>
      <w:r>
        <w:t xml:space="preserve">’</w:t>
      </w:r>
      <w:r>
        <w:t xml:space="preserve">; isso soaria como escolha pelo resultado.</w:t>
      </w:r>
    </w:p>
    <w:p>
      <w:pPr>
        <w:pStyle w:val="FirstParagraph"/>
      </w:pPr>
      <w:r>
        <w:rPr>
          <w:bCs/>
          <w:b/>
        </w:rPr>
        <w:t xml:space="preserve">P55. A triagem, a extração, o risco de viés e o GRADE foram feitos por um único revisor. Isso não invalida a revisão sistemática?</w:t>
      </w:r>
    </w:p>
    <w:p>
      <w:pPr>
        <w:pStyle w:val="BodyText"/>
      </w:pPr>
      <w:r>
        <w:t xml:space="preserve">Não invalida, mas reduz a confiança, e eu digo isso no resumo, nos métodos, no Anexo E e nas limitações, porque o JBI recomenda dois avaliadores independentes. Como conhecimento geral, a triagem por revisor único tende a perder uma fração dos estudos elegíveis e a introduzir erro na extração. O que fiz foi tornar cada decisão auditável: o protocolo foi registrado no PROSPERO antes da extração; os 10.910 registros únicos foram avaliados por mim com registro padronizado dos motivos de exclusão; os numeradores e denominadores de cada estudo estão no Anexo D; os julgamentos item a item do JBI, no Anexo E; e o código em Python e as planilhas estão públicos no OSF. Além disso, a busca por citação avaliou 443 referências dos estudos incluídos e dos que os citam, o que funciona como rede de segurança contra perdas na triagem, e encaminhou 4 relatórios para leitura na íntegra. Os coautores revisaram criticamente a interpretação, mas não houve dupla triagem, e eu não vou maquiar isso. Se a revisão for atualizada, a avaliação em duplicata é a primeira melhoria.</w:t>
      </w:r>
    </w:p>
    <w:p>
      <w:pPr>
        <w:pStyle w:val="BlockText"/>
      </w:pPr>
      <w:r>
        <w:t xml:space="preserve">Dica: Dificuldade: muito alta. Não diga</w:t>
      </w:r>
      <w:r>
        <w:t xml:space="preserve"> </w:t>
      </w:r>
      <w:r>
        <w:t xml:space="preserve">‘</w:t>
      </w:r>
      <w:r>
        <w:t xml:space="preserve">não tinha ninguém para ajudar</w:t>
      </w:r>
      <w:r>
        <w:t xml:space="preserve">’</w:t>
      </w:r>
      <w:r>
        <w:t xml:space="preserve"> </w:t>
      </w:r>
      <w:r>
        <w:t xml:space="preserve">nem</w:t>
      </w:r>
      <w:r>
        <w:t xml:space="preserve"> </w:t>
      </w:r>
      <w:r>
        <w:t xml:space="preserve">‘</w:t>
      </w:r>
      <w:r>
        <w:t xml:space="preserve">é só uma IC</w:t>
      </w:r>
      <w:r>
        <w:t xml:space="preserve">’</w:t>
      </w:r>
      <w:r>
        <w:t xml:space="preserve">. Reconheça em uma frase, mostre a auditabilidade (PROSPERO, anexos, OSF, busca por citação) e feche com o plano de correção.</w:t>
      </w:r>
    </w:p>
    <w:p>
      <w:pPr>
        <w:pStyle w:val="FirstParagraph"/>
      </w:pPr>
      <w:r>
        <w:rPr>
          <w:bCs/>
          <w:b/>
        </w:rPr>
        <w:t xml:space="preserve">P56. Vocês recomendam exaustão e N95 sem ter avaliado nenhum estudo de intervenção. Isso não é extrapolação?</w:t>
      </w:r>
    </w:p>
    <w:p>
      <w:pPr>
        <w:pStyle w:val="BodyText"/>
      </w:pPr>
      <w:r>
        <w:t xml:space="preserve">É uma recomendação de precaução, não uma conclusão de efetividade, e eu escrevo isso literalmente: a efetividade das medidas não foi avaliada nesta revisão, e as recomendações decorrem de diretrizes de higiene ocupacional, como a do NIOSH de 1996, e do princípio da precaução, não de uma síntese de estudos de intervenção. O que esta revisão acrescenta ao argumento é a carga: sintomas oculares em 37,6%, respiratórios em 41,7%, qualquer sintoma entre 55,6% e 73,2%, mais sinais em desfechos intermediários, como metabólitos urinários de benzeno e xileno elevados e metaplasia nasal em 70% dos residentes expostos. Com essa carga documentada e a composição conhecida da fumaça, a proteção se justifica mesmo sob incerteza sobre desfechos crônicos; essa é a lógica da precaução. A hierarquia que proponho é a padrão: evacuação na fonte como medida principal, máscara de alta filtração como complemento, porque retém partículas, mas não gases e vapores, e educação da equipe, dentro do marco geral da NR-32, que não trata especificamente da fumaça. E, para ser claro, o trabalho não gradua força de recomendação; o GRADE foi aplicado à certeza da evidência.</w:t>
      </w:r>
    </w:p>
    <w:p>
      <w:pPr>
        <w:pStyle w:val="BlockText"/>
      </w:pPr>
      <w:r>
        <w:t xml:space="preserve">Dica: Dificuldade: alta. Diferencie</w:t>
      </w:r>
      <w:r>
        <w:t xml:space="preserve"> </w:t>
      </w:r>
      <w:r>
        <w:t xml:space="preserve">‘</w:t>
      </w:r>
      <w:r>
        <w:t xml:space="preserve">efetividade</w:t>
      </w:r>
      <w:r>
        <w:t xml:space="preserve">’</w:t>
      </w:r>
      <w:r>
        <w:t xml:space="preserve"> </w:t>
      </w:r>
      <w:r>
        <w:t xml:space="preserve">de</w:t>
      </w:r>
      <w:r>
        <w:t xml:space="preserve"> </w:t>
      </w:r>
      <w:r>
        <w:t xml:space="preserve">‘</w:t>
      </w:r>
      <w:r>
        <w:t xml:space="preserve">precaução</w:t>
      </w:r>
      <w:r>
        <w:t xml:space="preserve">’</w:t>
      </w:r>
      <w:r>
        <w:t xml:space="preserve"> </w:t>
      </w:r>
      <w:r>
        <w:t xml:space="preserve">na primeira frase. Não cite o dado do N95 do estudo de HPV como prova; isso contradiria sua própria resposta anterior.</w:t>
      </w:r>
    </w:p>
    <w:bookmarkEnd w:id="106"/>
    <w:bookmarkStart w:id="107" w:name="X9dfed6638b61343a2fd9df9775bf8990b3fd834"/>
    <w:p>
      <w:pPr>
        <w:pStyle w:val="Heading3"/>
      </w:pPr>
      <w:r>
        <w:t xml:space="preserve">Lente: Perguntas gerais de IC e de formação</w:t>
      </w:r>
    </w:p>
    <w:p>
      <w:pPr>
        <w:pStyle w:val="FirstParagraph"/>
      </w:pPr>
      <w:r>
        <w:rPr>
          <w:bCs/>
          <w:b/>
        </w:rPr>
        <w:t xml:space="preserve">P57. Por que você escolheu a fumaça cirúrgica como tema da sua Iniciação Científica?</w:t>
      </w:r>
    </w:p>
    <w:p>
      <w:pPr>
        <w:pStyle w:val="BodyText"/>
      </w:pPr>
      <w:r>
        <w:t xml:space="preserve">Escolhi a fumaça cirúrgica porque é um risco ocupacional cotidiano e pouco regulado: toda vez que se usa eletrocautério, laser ou bisturi ultrassônico, a equipe inala uma mistura com hidrocarbonetos aromáticos policíclicos, compostos orgânicos voláteis como benzeno, tolueno e xileno, material particulado fino (PM2,5) e até material genético do HPV. Sintomas agudos como irritação ocular, tosse e cefaleia são relatados com frequência, mas os efeitos de longo prazo são incertos, e há controvérsia real: Hurst e Stewart (2024) consideram que os riscos podem estar superestimados pela fragilidade dos dados. Ao mesmo tempo, a adoção de exaustão e de máscaras de alta filtração ainda é limitada, não há diretrizes globais harmonizadas e a NR-32 brasileira não trata especificamente da fumaça. Quando fui à literatura, as revisões anteriores (Mowbray et al., 2013; Dixon et al., 2023) eram descritivas, sem síntese quantitativa. Era, portanto, um tema com relevância prática para quem vai trabalhar em centro cirúrgico, com controvérsia científica aberta e com uma lacuna metodológica que uma IC podia preencher. [Opcional: uma frase pessoal sobre seu contato com o centro cirúrgico, se for verdadeira.]</w:t>
      </w:r>
    </w:p>
    <w:p>
      <w:pPr>
        <w:pStyle w:val="BlockText"/>
      </w:pPr>
      <w:r>
        <w:t xml:space="preserve">Dica: Nível: básico. Comece pelo problema (quem inala o quê) e termine na lacuna; não comece pela metodologia. Evite dizer</w:t>
      </w:r>
      <w:r>
        <w:t xml:space="preserve"> </w:t>
      </w:r>
      <w:r>
        <w:t xml:space="preserve">‘</w:t>
      </w:r>
      <w:r>
        <w:t xml:space="preserve">porque meu orientador sugeriu</w:t>
      </w:r>
      <w:r>
        <w:t xml:space="preserve">’</w:t>
      </w:r>
      <w:r>
        <w:t xml:space="preserve"> </w:t>
      </w:r>
      <w:r>
        <w:t xml:space="preserve">como única razão.</w:t>
      </w:r>
    </w:p>
    <w:p>
      <w:pPr>
        <w:pStyle w:val="FirstParagraph"/>
      </w:pPr>
      <w:r>
        <w:rPr>
          <w:bCs/>
          <w:b/>
        </w:rPr>
        <w:t xml:space="preserve">P58. Por que uma revisão sistemática com metanálise, e não um estudo primário, como projeto de IC?</w:t>
      </w:r>
    </w:p>
    <w:p>
      <w:pPr>
        <w:pStyle w:val="BodyText"/>
      </w:pPr>
      <w:r>
        <w:t xml:space="preserve">Porque a pergunta que eu queria responder, qual a frequência de sintomas e o que a literatura já mostra sobre efeitos à saúde, exigia primeiro consolidar o que existe. Havia estudos transversais espalhados por nove países (Turquia, Malásia, Brasil, Paquistão, China, México, Estados Unidos, Sudão e Tailândia), parte substancial em periódicos de indexação internacional limitada, e as revisões anteriores não traziam síntese quantitativa, intervalo de predição nem GRADE. Um estudo transversal meu acrescentaria mais um ponto a essa nuvem; a revisão sistemática organiza a nuvem inteira, quantifica a heterogeneidade e mostra exatamente onde está o vazio: nenhum estudo de câncer ou DPOC na equipe de centro cirúrgico. Como conhecimento geral de epidemiologia, a revisão sistemática é o passo que orienta o desenho de estudos primários melhores, e foi isso que o trabalho entregou como agenda: estudos longitudinais com aferição objetiva da exposição e controle de coexposições. Do ponto de vista de formação, ela me obrigou a dominar busca, triagem, risco de viés, estatística e redação científica no mesmo projeto.</w:t>
      </w:r>
    </w:p>
    <w:p>
      <w:pPr>
        <w:pStyle w:val="BlockText"/>
      </w:pPr>
      <w:r>
        <w:t xml:space="preserve">Dica: Nível: médio. Se a banca insinuar que</w:t>
      </w:r>
      <w:r>
        <w:t xml:space="preserve"> </w:t>
      </w:r>
      <w:r>
        <w:t xml:space="preserve">‘</w:t>
      </w:r>
      <w:r>
        <w:t xml:space="preserve">revisão não é pesquisa de verdade</w:t>
      </w:r>
      <w:r>
        <w:t xml:space="preserve">’</w:t>
      </w:r>
      <w:r>
        <w:t xml:space="preserve">, responda com o fluxo: 16.757 registros identificados, 10.910 únicos triados um a um, 22 incluídos. É trabalho de campo bibliográfico.</w:t>
      </w:r>
    </w:p>
    <w:p>
      <w:pPr>
        <w:pStyle w:val="FirstParagraph"/>
      </w:pPr>
      <w:r>
        <w:rPr>
          <w:bCs/>
          <w:b/>
        </w:rPr>
        <w:t xml:space="preserve">P59. Qual foi exatamente a sua contribuição pessoal e o que você aprendeu fazendo este trabalho?</w:t>
      </w:r>
    </w:p>
    <w:p>
      <w:pPr>
        <w:pStyle w:val="BodyText"/>
      </w:pPr>
      <w:r>
        <w:t xml:space="preserve">Minha contribuição está na declaração de autoria: concepção, estratégia de busca, triagem, extração, análise e redação. Na prática, desenhei as estratégias nas sete bases, triei individualmente os 10.910 registros únicos, extraí os eventos e denominadores do Anexo D, avaliei o risco de viés com as ferramentas do JBI, rodei a metanálise em Python e escrevi o manuscrito. Aprendi em três camadas. Metodológica: PRISMA 2020, registro PROSPERO, PECO e CoCoPop, JBI e GRADE adaptado a prevalência. Estatística: transformação logito, estimador de Paule-Mandel, ajuste de Hartung-Knapp, intervalo de predição, Freeman-Tukey, GLMM, leave-one-out e gráfico de Baujat, e sobretudo que três modelos concordando (37,6%, 38,1% e 37,5% para o sintoma ocular) não corrigem viés de amostragem. Crítica: aprendi a ler um artigo contra ele mesmo; o texto de Ibrahim et al. (2025) descreve a relação VEF1/CVF como menor nos expostos, mas a própria tabela mostra 91,9% versus 91,0%, ligeiramente maior; extraí da tabela e registrei a discrepância. A lição maior foi epistêmica: prevalência em expostos não é efeito causal da fumaça.</w:t>
      </w:r>
    </w:p>
    <w:p>
      <w:pPr>
        <w:pStyle w:val="BlockText"/>
      </w:pPr>
      <w:r>
        <w:t xml:space="preserve">Dica: Nível: básico. Diga</w:t>
      </w:r>
      <w:r>
        <w:t xml:space="preserve"> </w:t>
      </w:r>
      <w:r>
        <w:t xml:space="preserve">‘</w:t>
      </w:r>
      <w:r>
        <w:t xml:space="preserve">eu fiz</w:t>
      </w:r>
      <w:r>
        <w:t xml:space="preserve">’</w:t>
      </w:r>
      <w:r>
        <w:t xml:space="preserve"> </w:t>
      </w:r>
      <w:r>
        <w:t xml:space="preserve">sem pedir desculpa; a banca quer saber se você entende o que assinou. Tenha um exemplo concreto na ponta da língua (a discrepância do VEF1/CVF funciona bem).</w:t>
      </w:r>
    </w:p>
    <w:p>
      <w:pPr>
        <w:pStyle w:val="FirstParagraph"/>
      </w:pPr>
      <w:r>
        <w:rPr>
          <w:bCs/>
          <w:b/>
        </w:rPr>
        <w:t xml:space="preserve">P60. Qual foi a maior dificuldade do trabalho e como você a resolveu?</w:t>
      </w:r>
    </w:p>
    <w:p>
      <w:pPr>
        <w:pStyle w:val="BodyText"/>
      </w:pPr>
      <w:r>
        <w:t xml:space="preserve">A maior dificuldade foi transformar 22 relatórios em amostras independentes e comparáveis. Primeiro, sete publicações de um mesmo grupo do Paraná vinham de coortes com sobreposição amostral parcial; combiná-las contaria as mesmas pessoas mais de uma vez. Resolvi com uma regra definida antes da síntese: o cluster entra com um único representante por desfecho, o relatório mais completo, com numerador e denominador para os sintomas ocular e respiratório, que foi Bieniek et al. (2022); as outras seis publicações ficaram fora dos agrupamentos, como detalha o Anexo C. Segundo, os estudos definiam o sintoma de formas diferentes: tosse isolada num, qualquer sintoma de vias aéreas superiores noutro, escala por sistema noutro. Adotei a regra do sintoma-índice (o mais específico da via) e análises de sensibilidade por definição, ambas definidas durante a análise e relatadas como tal. Quando restringi a definições específicas, a prevalência respiratória foi de 41,7% para 35,8% e o I² caiu de 91% para 61%, mostrando que parte relevante da heterogeneidade era de definição, e não de população.</w:t>
      </w:r>
    </w:p>
    <w:p>
      <w:pPr>
        <w:pStyle w:val="BlockText"/>
      </w:pPr>
      <w:r>
        <w:t xml:space="preserve">Dica: Nível: médio. Escolha UMA dificuldade principal e dê a solução no mesmo fôlego; a banca penaliza quem lista problemas sem mostrar o que fez. Não diga que as seis publicações</w:t>
      </w:r>
      <w:r>
        <w:t xml:space="preserve"> </w:t>
      </w:r>
      <w:r>
        <w:t xml:space="preserve">‘</w:t>
      </w:r>
      <w:r>
        <w:t xml:space="preserve">foram para síntese narrativa</w:t>
      </w:r>
      <w:r>
        <w:t xml:space="preserve">’</w:t>
      </w:r>
      <w:r>
        <w:t xml:space="preserve">: o Anexo C registra quatro na narrativa e duas (Aranha 2018; Saito 2019) apenas como não agrupadas por sobreposição.</w:t>
      </w:r>
    </w:p>
    <w:p>
      <w:pPr>
        <w:pStyle w:val="FirstParagraph"/>
      </w:pPr>
      <w:r>
        <w:rPr>
          <w:bCs/>
          <w:b/>
        </w:rPr>
        <w:t xml:space="preserve">P61. Quanto tempo levou cada etapa do projeto?</w:t>
      </w:r>
    </w:p>
    <w:p>
      <w:pPr>
        <w:pStyle w:val="BodyText"/>
      </w:pPr>
      <w:r>
        <w:t xml:space="preserve">O que o manuscrito documenta ancora o cronograma assim: os identificadores da dispensa do CEP (protocolo 2025/0743) e do registro PROSPERO (CRD420251238727) indicam que o planejamento, o protocolo e a parte ética foram tratados em 2025, e o registro foi feito antes da extração dos dados. A busca final nas sete bases, na literatura cinzenta e por citação (via OpenAlex) foi executada em um único dia, 9 de julho de 2026. A triagem dos 10.910 registros ocorreu, pelo período declarado de uso das ferramentas de priorização, entre julho e agosto de 2026. Extração, avaliação de risco de viés, análises em Python e redação vieram na sequência, até a versão atual. [Preencha com seus tempos reais:</w:t>
      </w:r>
      <w:r>
        <w:t xml:space="preserve"> </w:t>
      </w:r>
      <w:r>
        <w:t xml:space="preserve">‘</w:t>
      </w:r>
      <w:r>
        <w:t xml:space="preserve">a triagem me tomou cerca de X semanas; a programação e as análises de sensibilidade, X semanas; a redação, X meses</w:t>
      </w:r>
      <w:r>
        <w:t xml:space="preserve">’</w:t>
      </w:r>
      <w:r>
        <w:t xml:space="preserve">.] O que posso dizer com segurança é que a análise foi a etapa mais iterativa: cada decisão, representante do cluster, sintoma-índice, exclusão do resumo de congresso, gerou uma análise de sensibilidade que precisei rodar e relatar.</w:t>
      </w:r>
    </w:p>
    <w:p>
      <w:pPr>
        <w:pStyle w:val="BlockText"/>
      </w:pPr>
      <w:r>
        <w:t xml:space="preserve">Dica: Nível: básico, mas perigoso: NÃO invente durações. Preencha os colchetes com seu cronograma real antes da apresentação. O ano de 2025 é inferido dos números de protocolo e o período da triagem, do período declarado de uso da IA; confirme ambos. Não afirme qual etapa foi</w:t>
      </w:r>
      <w:r>
        <w:t xml:space="preserve"> </w:t>
      </w:r>
      <w:r>
        <w:t xml:space="preserve">‘</w:t>
      </w:r>
      <w:r>
        <w:t xml:space="preserve">a mais longa</w:t>
      </w:r>
      <w:r>
        <w:t xml:space="preserve">’</w:t>
      </w:r>
      <w:r>
        <w:t xml:space="preserve"> </w:t>
      </w:r>
      <w:r>
        <w:t xml:space="preserve">sem ter o seu registro, porque o manuscrito não diz isso.</w:t>
      </w:r>
    </w:p>
    <w:p>
      <w:pPr>
        <w:pStyle w:val="FirstParagraph"/>
      </w:pPr>
      <w:r>
        <w:rPr>
          <w:bCs/>
          <w:b/>
        </w:rPr>
        <w:t xml:space="preserve">P62. Como foi a orientação e qual foi o papel de cada coautor?</w:t>
      </w:r>
    </w:p>
    <w:p>
      <w:pPr>
        <w:pStyle w:val="BodyText"/>
      </w:pPr>
      <w:r>
        <w:t xml:space="preserve">O trabalho foi feito no Programa de Iniciação Científica da Faculdade São Leopoldo Mandic Araras, na modalidade voluntária, sem bolsa e sem financiamento. Minha orientadora, Lisie Tocci Justo, respondeu pela orientação, pela supervisão metodológica e pela revisão crítica [detalhe com o que de fato aconteceu nas reuniões: por exemplo, validação do desenho e discussão das decisões posteriores ao registro]. Luiz Henrique Ledesma Pereira, da mesma instituição, e Mariana Matera Veras, do Laboratório de Patologia Ambiental e Experimental (LIM05) do Hospital das Clínicas da FMUSP, atuaram na interpretação dos resultados e na revisão crítica do conteúdo intelectual; um olhar de patologia ambiental é o que ajuda a ler com cautela biomarcadores e histologia nasal, por exemplo o fato de o ácido trans,trans-mucônico não ser específico do benzeno [confirme se essa ressalva veio de fato dessa coautora antes de atribuí-la a ela]. A execução operacional, busca, triagem, extração, análise e redação, foi minha. Todos os autores aprovaram a versão final, e a declaração de contribuição está explícita no manuscrito, o que também é uma medida de integridade de autoria. Agradecemos à instituição e aos professores colaboradores pelo apoio institucional e metodológico.</w:t>
      </w:r>
    </w:p>
    <w:p>
      <w:pPr>
        <w:pStyle w:val="BlockText"/>
      </w:pPr>
      <w:r>
        <w:t xml:space="preserve">Dica: Nível: básico. Dê nomes e papéis concretos;</w:t>
      </w:r>
      <w:r>
        <w:t xml:space="preserve"> </w:t>
      </w:r>
      <w:r>
        <w:t xml:space="preserve">‘</w:t>
      </w:r>
      <w:r>
        <w:t xml:space="preserve">me ajudaram muito</w:t>
      </w:r>
      <w:r>
        <w:t xml:space="preserve">’</w:t>
      </w:r>
      <w:r>
        <w:t xml:space="preserve"> </w:t>
      </w:r>
      <w:r>
        <w:t xml:space="preserve">não informa nada. O manuscrito registra apenas</w:t>
      </w:r>
      <w:r>
        <w:t xml:space="preserve"> </w:t>
      </w:r>
      <w:r>
        <w:t xml:space="preserve">‘</w:t>
      </w:r>
      <w:r>
        <w:t xml:space="preserve">interpretação e revisão crítica</w:t>
      </w:r>
      <w:r>
        <w:t xml:space="preserve">’</w:t>
      </w:r>
      <w:r>
        <w:t xml:space="preserve"> </w:t>
      </w:r>
      <w:r>
        <w:t xml:space="preserve">para os coautores e</w:t>
      </w:r>
      <w:r>
        <w:t xml:space="preserve"> </w:t>
      </w:r>
      <w:r>
        <w:t xml:space="preserve">‘</w:t>
      </w:r>
      <w:r>
        <w:t xml:space="preserve">orientação, supervisão metodológica e revisão crítica</w:t>
      </w:r>
      <w:r>
        <w:t xml:space="preserve">’</w:t>
      </w:r>
      <w:r>
        <w:t xml:space="preserve"> </w:t>
      </w:r>
      <w:r>
        <w:t xml:space="preserve">para a orientadora; qualquer detalhe além disso é seu e precisa ser verdadeiro.</w:t>
      </w:r>
    </w:p>
    <w:p>
      <w:pPr>
        <w:pStyle w:val="FirstParagraph"/>
      </w:pPr>
      <w:r>
        <w:rPr>
          <w:bCs/>
          <w:b/>
        </w:rPr>
        <w:t xml:space="preserve">P63. Como você garantiu a ética e a integridade da pesquisa (CEP, registro, política de IA do CNPq)?</w:t>
      </w:r>
    </w:p>
    <w:p>
      <w:pPr>
        <w:pStyle w:val="BodyText"/>
      </w:pPr>
      <w:r>
        <w:t xml:space="preserve">Em três frentes. Ética formal: por ser revisão de dados publicados, sem seres humanos, submeti ao CEP, que concedeu dispensa de apreciação (protocolo 2025/0743), conforme a Resolução CNS nº 510/2016, artigo 1º, parágrafo único, inciso VI, que exclui do sistema CEP/CONEP a pesquisa feita exclusivamente com textos científicos. Integridade metodológica: registrei o protocolo no PROSPERO (CRD420251238727) antes da extração, segui o PRISMA 2020 com o checklist de 27 itens preenchido no Anexo H e relatei todas as decisões posteriores ao registro, inclusive as duas tomadas durante a análise (regra do sintoma-índice e sensibilidades por definição), declarando que foram independentes dos resultados de cada estudo. Integridade no uso de IA: Zotero, Rayyan, OpenAlex e um assistente de IA (Claude Opus, julho a agosto de 2026) estão declarados em seção própria, com função exclusivamente operacional, registros de uso no OSF e conformidade com a Política de Integridade na Atividade Científica do CNPq (Portaria nº 2.664, de 6 de março de 2026); nenhum conteúdo gerado por IA foi incorporado sem verificação humana. Somam-se as declarações de ausência de conflitos de interesse e de financiamento e os dados e o código públicos.</w:t>
      </w:r>
    </w:p>
    <w:p>
      <w:pPr>
        <w:pStyle w:val="BlockText"/>
      </w:pPr>
      <w:r>
        <w:t xml:space="preserve">Dica: Nível: médio. Cite os três identificadores de cabeça: 2025/0743, CRD420251238727 e Portaria CNPq 2.664/2026. Não diga que</w:t>
      </w:r>
      <w:r>
        <w:t xml:space="preserve"> </w:t>
      </w:r>
      <w:r>
        <w:t xml:space="preserve">‘</w:t>
      </w:r>
      <w:r>
        <w:t xml:space="preserve">não precisou de ética</w:t>
      </w:r>
      <w:r>
        <w:t xml:space="preserve">’</w:t>
      </w:r>
      <w:r>
        <w:t xml:space="preserve">; diga que submeteu e obteve dispensa.</w:t>
      </w:r>
    </w:p>
    <w:p>
      <w:pPr>
        <w:pStyle w:val="FirstParagraph"/>
      </w:pPr>
      <w:r>
        <w:rPr>
          <w:bCs/>
          <w:b/>
        </w:rPr>
        <w:t xml:space="preserve">P64. Você usou inteligência artificial na triagem. Isso não compromete a autoria ou a validade do trabalho?</w:t>
      </w:r>
    </w:p>
    <w:p>
      <w:pPr>
        <w:pStyle w:val="BodyText"/>
      </w:pPr>
      <w:r>
        <w:t xml:space="preserve">Não, e por três razões verificáveis. Primeiro, a função foi operacional: a classificação automatizada por regras de palavras-chave e o assistente de IA serviram para priorizar a ordem de leitura dos 10.910 registros, apoiar a leitura de resumos e organizar o fluxo de trabalho, não para excluir nenhum registro; eu li e julguei todos os títulos e resumos. Segundo, as etapas que definem o resultado, elegibilidade, extração dos eventos e denominadores, risco de viés, GRADE, interpretação e redação, foram de responsabilidade dos autores, e isso está declarado em duas seções do manuscrito. Terceiro, é auditável: os registros de uso estão no repositório do OSF, junto com o script de classificação e o código da análise, em conformidade com a Portaria CNPq nº 2.664/2026 e em abordagem análoga à das ferramentas de revisão sistemática assistida por IA já descritas na literatura (Van de Schoot et al., 2021). Se a IA tivesse decidido elegibilidade, seria um problema de validade; como ela só reordenou o que eu leria de qualquer forma, o efeito é de eficiência, não de viés. O ponto fraco real da triagem não é a IA, é ter sido feita por um único revisor, e isso está reconhecido como limitação.</w:t>
      </w:r>
    </w:p>
    <w:p>
      <w:pPr>
        <w:pStyle w:val="BlockText"/>
      </w:pPr>
      <w:r>
        <w:t xml:space="preserve">Dica: Nível: difícil. Não se defenda escondendo o uso; a transparência é o argumento. Declare as três funções que constam no manuscrito (priorização da leitura, leitura assistida de resumos, organização do fluxo) e termine redirecionando para a limitação verdadeira (revisor único).</w:t>
      </w:r>
    </w:p>
    <w:p>
      <w:pPr>
        <w:pStyle w:val="FirstParagraph"/>
      </w:pPr>
      <w:r>
        <w:rPr>
          <w:bCs/>
          <w:b/>
        </w:rPr>
        <w:t xml:space="preserve">P65. Como você garantiu que o trabalho é reprodutível (OSF, Python)?</w:t>
      </w:r>
    </w:p>
    <w:p>
      <w:pPr>
        <w:pStyle w:val="BodyText"/>
      </w:pPr>
      <w:r>
        <w:t xml:space="preserve">Qualquer pessoa consegue refazer a metanálise a partir do próprio manuscrito. O Anexo D traz os eventos e denominadores de cada estudo, por exemplo 33 de 81 em İlçe et al. (2017) e 67 de 155 em Bieniek et al. (2022) para o sintoma ocular, e os Métodos especificam o modelo: logito, Paule-Mandel para o tau², Hartung-Knapp-Sidik-Jonkman para o intervalo de confiança, intervalo de predição com t de k−2 graus de liberdade e Wilson para os intervalos individuais. O Anexo G traz o Q de Cochran (67,81 e 65,08), os graus de liberdade e o tau² (0,493 e 0,249) para conferência. O código em Python 3.13 (NumPy 2.4, SciPy 1.18 e statsmodels 0.14), as planilhas completas de extração, as figuras em alta resolução e os registros de uso de IA estão públicos no OSF (osf.io/jktmn), e as estratégias de busca completas, com data e número de registros por base, estão nos Anexos A e B, para quem quiser rodar a atualização. Como verificação interna, três modelos independentes (logito com Hartung-Knapp, Freeman-Tukey e GLMM) deram 37,6%, 38,1% e 37,5% para o ocular e 41,7%, 41,7% e 42,0% para o respiratório.</w:t>
      </w:r>
    </w:p>
    <w:p>
      <w:pPr>
        <w:pStyle w:val="BlockText"/>
      </w:pPr>
      <w:r>
        <w:t xml:space="preserve">Dica: Nível: médio. Se perguntarem</w:t>
      </w:r>
      <w:r>
        <w:t xml:space="preserve"> </w:t>
      </w:r>
      <w:r>
        <w:t xml:space="preserve">‘</w:t>
      </w:r>
      <w:r>
        <w:t xml:space="preserve">por que Python e não R</w:t>
      </w:r>
      <w:r>
        <w:t xml:space="preserve">’</w:t>
      </w:r>
      <w:r>
        <w:t xml:space="preserve">, responda que o GLMM foi implementado de forma análoga à rotina rma.glmm do metafor, com quadratura de Gauss-Hermite de 80 nós, e que a concordância entre os três métodos funciona como validação cruzada.</w:t>
      </w:r>
    </w:p>
    <w:p>
      <w:pPr>
        <w:pStyle w:val="FirstParagraph"/>
      </w:pPr>
      <w:r>
        <w:rPr>
          <w:bCs/>
          <w:b/>
        </w:rPr>
        <w:t xml:space="preserve">P66. Se começasse hoje, o que você faria diferente?</w:t>
      </w:r>
    </w:p>
    <w:p>
      <w:pPr>
        <w:pStyle w:val="BodyText"/>
      </w:pPr>
      <w:r>
        <w:t xml:space="preserve">Quatro coisas. Primeiro, teria um segundo revisor independente na triagem, na extração e no risco de viés: o JBI recomenda dois avaliadores, e essa é a limitação que mais pesa no meu trabalho. Segundo, teria contatado os autores dos estudos incluídos para pedir dados adicionais; só contatei autores correspondentes para tentar obter os textos não recuperados. Isso custou o dado ocular do maior inquérito (Van Giersbergen et al., 2019; n = 672) e o numerador e denominador globais de Bieniek et al. (2025), que mediu o sintoma pela escala EASE; só com Van Giersbergen, o agrupamento ocular passaria de 756 para 1.428 participantes, como o respiratório. Terceiro, teria pré-especificado no protocolo a regra do sintoma-índice e as análises de sensibilidade por definição do desfecho, que defini durante a análise; relatei isso com transparência, mas o ideal é prever antes. Quarto, teria definido um limiar decisório para julgar imprecisão no GRADE, que não foi pré-especificado. O que eu não mudaria: o modelo principal, o controle rigoroso da sobreposição amostral e a decisão de tratar o desfecho respiratório como exploratório.</w:t>
      </w:r>
    </w:p>
    <w:p>
      <w:pPr>
        <w:pStyle w:val="BlockText"/>
      </w:pPr>
      <w:r>
        <w:t xml:space="preserve">Dica: Nível: médio. Autocrítica específica, não genérica (</w:t>
      </w:r>
      <w:r>
        <w:t xml:space="preserve">‘</w:t>
      </w:r>
      <w:r>
        <w:t xml:space="preserve">faria com mais tempo</w:t>
      </w:r>
      <w:r>
        <w:t xml:space="preserve">’</w:t>
      </w:r>
      <w:r>
        <w:t xml:space="preserve">). Cuidado com a frase</w:t>
      </w:r>
      <w:r>
        <w:t xml:space="preserve"> </w:t>
      </w:r>
      <w:r>
        <w:t xml:space="preserve">‘</w:t>
      </w:r>
      <w:r>
        <w:t xml:space="preserve">não contatei autores</w:t>
      </w:r>
      <w:r>
        <w:t xml:space="preserve">’</w:t>
      </w:r>
      <w:r>
        <w:t xml:space="preserve">: o manuscrito diz que não houve contato para dados adicionais, mas o Anexo C registra contato com autores correspondentes para obter os seis textos não recuperados. Feche com o que NÃO mudaria.</w:t>
      </w:r>
    </w:p>
    <w:p>
      <w:pPr>
        <w:pStyle w:val="FirstParagraph"/>
      </w:pPr>
      <w:r>
        <w:rPr>
          <w:bCs/>
          <w:b/>
        </w:rPr>
        <w:t xml:space="preserve">P67. Quais são os próximos passos: submissão, atualização, duplicata?</w:t>
      </w:r>
    </w:p>
    <w:p>
      <w:pPr>
        <w:pStyle w:val="BodyText"/>
      </w:pPr>
      <w:r>
        <w:t xml:space="preserve">Três etapas antes da submissão e uma depois [plano a alinhar com a orientadora]. Primeiro, duplicata: um segundo revisor independente refaz a avaliação dos 26 relatórios lidos na íntegra, uma amostra da triagem de título e resumo, a extração do Anexo D e os julgamentos JBI, com registro de concordância; isso responde à principal limitação. Segundo, nova tentativa de recuperar os seis relatórios não obtidos, entre eles dois inquéritos de sintomas (Navarro-Meza 2013 e Gjini 2025) e um estudo de olho seco (Ekicier Acar 2024), cuja ausência pode ter afetado a estimativa, e contato com os autores de Van Giersbergen (2019) e Bieniek (2025) para os dados oculares. Terceiro, atualização da busca a partir de 9 de julho de 2026, com as mesmas estratégias dos Anexos A e B. Depois, submissão a periódico indexado, citando o protocolo PROSPERO e o repositório OSF. Em paralelo, o vazio de evidência vira projeto: um estudo longitudinal com aferição objetiva da exposição e controle das coexposições (gases anestésicos residuais e radiação ionizante) e do tabagismo, capaz de estimar o risco crônico atribuível à fumaça.</w:t>
      </w:r>
    </w:p>
    <w:p>
      <w:pPr>
        <w:pStyle w:val="BlockText"/>
      </w:pPr>
      <w:r>
        <w:t xml:space="preserve">Dica: Nível: básico. O manuscrito não descreve próximos passos além da agenda de pesquisa; os três primeiros itens são plano seu, então apresente-os como tal. Se perguntarem</w:t>
      </w:r>
      <w:r>
        <w:t xml:space="preserve"> </w:t>
      </w:r>
      <w:r>
        <w:t xml:space="preserve">‘</w:t>
      </w:r>
      <w:r>
        <w:t xml:space="preserve">qual revista</w:t>
      </w:r>
      <w:r>
        <w:t xml:space="preserve">’</w:t>
      </w:r>
      <w:r>
        <w:t xml:space="preserve">, não invente: diga que a escolha depende do escopo (saúde ocupacional ou enfermagem perioperatória) e que o manuscrito já segue PRISMA 2020 com resumo bilíngue.</w:t>
      </w:r>
    </w:p>
    <w:p>
      <w:pPr>
        <w:pStyle w:val="FirstParagraph"/>
      </w:pPr>
      <w:r>
        <w:rPr>
          <w:bCs/>
          <w:b/>
        </w:rPr>
        <w:t xml:space="preserve">P68. Na prática, como esse trabalho muda o que acontece dentro do centro cirúrgico?</w:t>
      </w:r>
    </w:p>
    <w:p>
      <w:pPr>
        <w:pStyle w:val="BodyText"/>
      </w:pPr>
      <w:r>
        <w:t xml:space="preserve">Com honestidade: esta revisão não testou intervenções, então não posso dizer que o exaustor X reduz Y% dos sintomas. O que ela faz é quantificar a carga: cerca de quatro em cada dez profissionais relatam sintoma ocular (37,6%) e respiratório (41,7%), com relatos de qualquer sintoma entre 55,6% e 73,2%, e estudos isolados mostram sinais além do incômodo agudo, como função pulmonar menor com gradiente pelo tempo de exposição, metabólitos urinários de benzeno e xileno elevados, metaplasia nasal em 70% versus 5% e HPV-DNA nasal em 8,96% versus 1,73%. Essa carga, somada ao princípio da precaução, justifica o que a higiene ocupacional já recomenda (NIOSH, 1996): evacuação local da fumaça na fonte como medida principal, máscaras de alta filtração (N95/PFF2) como complemento, porque retêm partículas mas não substituem a exaustão para gases e vapores, e educação da equipe. No Brasil, a NR-32 é o marco geral de riscos em serviços de saúde, mas não trata especificamente da fumaça cirúrgica, o que abre espaço para normatização. O que muda, portanto, é o argumento: deixa de ser</w:t>
      </w:r>
      <w:r>
        <w:t xml:space="preserve"> </w:t>
      </w:r>
      <w:r>
        <w:t xml:space="preserve">‘</w:t>
      </w:r>
      <w:r>
        <w:t xml:space="preserve">incômodo</w:t>
      </w:r>
      <w:r>
        <w:t xml:space="preserve">’</w:t>
      </w:r>
      <w:r>
        <w:t xml:space="preserve"> </w:t>
      </w:r>
      <w:r>
        <w:t xml:space="preserve">e passa a ser carga sintomática documentada e quantificada.</w:t>
      </w:r>
    </w:p>
    <w:p>
      <w:pPr>
        <w:pStyle w:val="BlockText"/>
      </w:pPr>
      <w:r>
        <w:t xml:space="preserve">Dica: Nível: médio. Não prometa o que a revisão não mediu (efetividade das medidas). Se citarem o achado de 0 de 196 usuários de N95 sem HPV em Hu et al. (2021), contra 13,98% (33 de 236) com máscara comum, lembre que é comparação de subgrupo sem ajuste e não prova efetividade.</w:t>
      </w:r>
    </w:p>
    <w:p>
      <w:pPr>
        <w:pStyle w:val="FirstParagraph"/>
      </w:pPr>
      <w:r>
        <w:rPr>
          <w:bCs/>
          <w:b/>
        </w:rPr>
        <w:t xml:space="preserve">P69. Resuma a mensagem principal do seu trabalho em uma frase.</w:t>
      </w:r>
    </w:p>
    <w:p>
      <w:pPr>
        <w:pStyle w:val="BodyText"/>
      </w:pPr>
      <w:r>
        <w:t xml:space="preserve">Quatro em cada dez profissionais de centro cirúrgico expostos à fumaça cirúrgica relatam sintomas oculares ou respiratórios, estudos isolados mostram alterações funcionais e biológicas além do incômodo agudo, e não existe nenhum estudo que meça câncer ou DPOC nessa população; portanto, proteger a equipe agora é precaução justificada, e medir o risco de longo prazo é a pesquisa que falta. Se a banca quiser a versão curta: sintomas frequentes, evidência fraca, proteção justificada, lacuna aberta. E a frase que nunca deixo de acrescentar: a metanálise estima a frequência de sintomas em expostos, não o efeito causal da fumaça.</w:t>
      </w:r>
    </w:p>
    <w:p>
      <w:pPr>
        <w:pStyle w:val="BlockText"/>
      </w:pPr>
      <w:r>
        <w:t xml:space="preserve">Dica: Nível: básico. Treine até sair em 15 segundos.</w:t>
      </w:r>
      <w:r>
        <w:t xml:space="preserve"> </w:t>
      </w:r>
      <w:r>
        <w:t xml:space="preserve">‘</w:t>
      </w:r>
      <w:r>
        <w:t xml:space="preserve">Quatro em dez</w:t>
      </w:r>
      <w:r>
        <w:t xml:space="preserve">’</w:t>
      </w:r>
      <w:r>
        <w:t xml:space="preserve"> </w:t>
      </w:r>
      <w:r>
        <w:t xml:space="preserve">é arredondamento de 37,6% e 41,7%; dê os decimais só se pedirem. O que NÃO dizer:</w:t>
      </w:r>
      <w:r>
        <w:t xml:space="preserve"> </w:t>
      </w:r>
      <w:r>
        <w:t xml:space="preserve">‘</w:t>
      </w:r>
      <w:r>
        <w:t xml:space="preserve">a fumaça causa câncer</w:t>
      </w:r>
      <w:r>
        <w:t xml:space="preserve">’</w:t>
      </w:r>
      <w:r>
        <w:t xml:space="preserve">.</w:t>
      </w:r>
    </w:p>
    <w:p>
      <w:pPr>
        <w:pStyle w:val="FirstParagraph"/>
      </w:pPr>
      <w:r>
        <w:rPr>
          <w:bCs/>
          <w:b/>
        </w:rPr>
        <w:t xml:space="preserve">P70. Por que este trabalho merece o prêmio de Iniciação Científica?</w:t>
      </w:r>
    </w:p>
    <w:p>
      <w:pPr>
        <w:pStyle w:val="BodyText"/>
      </w:pPr>
      <w:r>
        <w:t xml:space="preserve">Por três motivos que estão no trabalho, não na minha opinião. Primeiro, contribuição: ele oferece uma estimativa quantitativa combinada, com intervalo de predição, análise por país e GRADE, para uma literatura que até então tinha sido sintetizada de forma majoritariamente descritiva (Mowbray 2013; Dixon 2023), e delimita com rigor o vazio sobre câncer e DPOC, convertendo</w:t>
      </w:r>
      <w:r>
        <w:t xml:space="preserve"> </w:t>
      </w:r>
      <w:r>
        <w:t xml:space="preserve">‘</w:t>
      </w:r>
      <w:r>
        <w:t xml:space="preserve">faltam dados</w:t>
      </w:r>
      <w:r>
        <w:t xml:space="preserve">’</w:t>
      </w:r>
      <w:r>
        <w:t xml:space="preserve"> </w:t>
      </w:r>
      <w:r>
        <w:t xml:space="preserve">em agenda de pesquisa. Segundo, rigor em escala de IC: sete bases, literatura cinzenta e busca por citação (16.757 registros, 10.910 únicos triados), PROSPERO antes da extração, PRISMA 2020, JBI, GRADE, três modelos concordantes, leave-one-out, Baujat, controle de sobreposição amostral e código aberto no OSF, tudo como IC voluntária, sem bolsa. Terceiro, honestidade intelectual: o trabalho diz com todas as letras que a certeza é muito baixa, que a triagem foi de revisor único e que a metanálise estima prevalência, não causalidade, e ainda assim entrega uma mensagem útil para a prática. Um prêmio de IC deve reconhecer o processo de aprender a fazer ciência de forma registrada, reprodutível e transparente, e esse processo está documentado nos nove anexos. Se não ganhar, o trabalho vale exatamente o mesmo; se ganhar, leva o tema da fumaça cirúrgica, sem norma específica no Brasil, para mais gente.</w:t>
      </w:r>
    </w:p>
    <w:p>
      <w:pPr>
        <w:pStyle w:val="BlockText"/>
      </w:pPr>
      <w:r>
        <w:t xml:space="preserve">Dica: Nível: difícil. Fale do trabalho, não de você; a banca decide o mérito. Não compare com outros candidatos nem use</w:t>
      </w:r>
      <w:r>
        <w:t xml:space="preserve"> </w:t>
      </w:r>
      <w:r>
        <w:t xml:space="preserve">‘</w:t>
      </w:r>
      <w:r>
        <w:t xml:space="preserve">o melhor</w:t>
      </w:r>
      <w:r>
        <w:t xml:space="preserve">’</w:t>
      </w:r>
      <w:r>
        <w:t xml:space="preserve">. Não diga</w:t>
      </w:r>
      <w:r>
        <w:t xml:space="preserve"> </w:t>
      </w:r>
      <w:r>
        <w:t xml:space="preserve">‘</w:t>
      </w:r>
      <w:r>
        <w:t xml:space="preserve">primeira síntese quantitativa</w:t>
      </w:r>
      <w:r>
        <w:t xml:space="preserve">’</w:t>
      </w:r>
      <w:r>
        <w:t xml:space="preserve"> </w:t>
      </w:r>
      <w:r>
        <w:t xml:space="preserve">sem ressalva: o manuscrito afirma apenas que a literatura era</w:t>
      </w:r>
      <w:r>
        <w:t xml:space="preserve"> </w:t>
      </w:r>
      <w:r>
        <w:t xml:space="preserve">‘</w:t>
      </w:r>
      <w:r>
        <w:t xml:space="preserve">majoritariamente descritiva</w:t>
      </w:r>
      <w:r>
        <w:t xml:space="preserve">’</w:t>
      </w:r>
      <w:r>
        <w:t xml:space="preserve">; se quiser, diga</w:t>
      </w:r>
      <w:r>
        <w:t xml:space="preserve"> </w:t>
      </w:r>
      <w:r>
        <w:t xml:space="preserve">‘</w:t>
      </w:r>
      <w:r>
        <w:t xml:space="preserve">até onde a minha busca alcançou, não encontrei síntese quantitativa anterior com intervalo de predição e GRADE</w:t>
      </w:r>
      <w:r>
        <w:t xml:space="preserve">’</w:t>
      </w:r>
      <w:r>
        <w:t xml:space="preserve">.</w:t>
      </w:r>
    </w:p>
    <w:bookmarkEnd w:id="107"/>
    <w:bookmarkEnd w:id="108"/>
    <w:bookmarkStart w:id="114" w:name="Xefb3dbd6445827cf511f3aa2d1893909f2830e6"/>
    <w:p>
      <w:pPr>
        <w:pStyle w:val="Heading2"/>
      </w:pPr>
      <w:r>
        <w:t xml:space="preserve">Parte 6 — Ficha de números para decorar [deste trabalho]</w:t>
      </w:r>
    </w:p>
    <w:bookmarkStart w:id="109" w:name="seleção-prisma"/>
    <w:p>
      <w:pPr>
        <w:pStyle w:val="Heading3"/>
      </w:pPr>
      <w:r>
        <w:t xml:space="preserve">Seleção (PRISMA)</w:t>
      </w:r>
    </w:p>
    <w:p>
      <w:pPr>
        <w:numPr>
          <w:ilvl w:val="0"/>
          <w:numId w:val="1041"/>
        </w:numPr>
        <w:pStyle w:val="Compact"/>
      </w:pPr>
      <w:r>
        <w:rPr>
          <w:bCs/>
          <w:b/>
        </w:rPr>
        <w:t xml:space="preserve">16.757</w:t>
      </w:r>
      <w:r>
        <w:t xml:space="preserve"> </w:t>
      </w:r>
      <w:r>
        <w:t xml:space="preserve">registros identificados (16.707 nas bases + 50 na literatura cinzenta) ·</w:t>
      </w:r>
      <w:r>
        <w:t xml:space="preserve"> </w:t>
      </w:r>
      <w:r>
        <w:rPr>
          <w:bCs/>
          <w:b/>
        </w:rPr>
        <w:t xml:space="preserve">443</w:t>
      </w:r>
      <w:r>
        <w:t xml:space="preserve"> </w:t>
      </w:r>
      <w:r>
        <w:t xml:space="preserve">referências avaliadas por citação (OpenAlex).</w:t>
      </w:r>
    </w:p>
    <w:p>
      <w:pPr>
        <w:numPr>
          <w:ilvl w:val="0"/>
          <w:numId w:val="1041"/>
        </w:numPr>
        <w:pStyle w:val="Compact"/>
      </w:pPr>
      <w:r>
        <w:t xml:space="preserve">Por base (09/07/2026): PubMed 4.522 · Embase 4.660 · Web of Science 3.629 · Scopus 2.639 · BVS 1.229 · SciELO 28 · CENTRAL 0 · Google Scholar 50 · CAPES 0.</w:t>
      </w:r>
    </w:p>
    <w:p>
      <w:pPr>
        <w:numPr>
          <w:ilvl w:val="0"/>
          <w:numId w:val="1041"/>
        </w:numPr>
        <w:pStyle w:val="Compact"/>
      </w:pPr>
      <w:r>
        <w:rPr>
          <w:bCs/>
          <w:b/>
        </w:rPr>
        <w:t xml:space="preserve">8</w:t>
      </w:r>
      <w:r>
        <w:t xml:space="preserve"> </w:t>
      </w:r>
      <w:r>
        <w:t xml:space="preserve">não exportados →</w:t>
      </w:r>
      <w:r>
        <w:t xml:space="preserve"> </w:t>
      </w:r>
      <w:r>
        <w:rPr>
          <w:bCs/>
          <w:b/>
        </w:rPr>
        <w:t xml:space="preserve">16.749</w:t>
      </w:r>
      <w:r>
        <w:t xml:space="preserve"> </w:t>
      </w:r>
      <w:r>
        <w:t xml:space="preserve">importados →</w:t>
      </w:r>
      <w:r>
        <w:t xml:space="preserve"> </w:t>
      </w:r>
      <w:r>
        <w:rPr>
          <w:bCs/>
          <w:b/>
        </w:rPr>
        <w:t xml:space="preserve">5.839</w:t>
      </w:r>
      <w:r>
        <w:t xml:space="preserve"> </w:t>
      </w:r>
      <w:r>
        <w:t xml:space="preserve">duplicatas →</w:t>
      </w:r>
      <w:r>
        <w:t xml:space="preserve"> </w:t>
      </w:r>
      <w:r>
        <w:rPr>
          <w:bCs/>
          <w:b/>
        </w:rPr>
        <w:t xml:space="preserve">10.910</w:t>
      </w:r>
      <w:r>
        <w:t xml:space="preserve"> </w:t>
      </w:r>
      <w:r>
        <w:t xml:space="preserve">únicos triados por título/resumo (revisor único).</w:t>
      </w:r>
    </w:p>
    <w:p>
      <w:pPr>
        <w:numPr>
          <w:ilvl w:val="0"/>
          <w:numId w:val="1041"/>
        </w:numPr>
        <w:pStyle w:val="Compact"/>
      </w:pPr>
      <w:r>
        <w:rPr>
          <w:bCs/>
          <w:b/>
        </w:rPr>
        <w:t xml:space="preserve">10.882</w:t>
      </w:r>
      <w:r>
        <w:t xml:space="preserve"> </w:t>
      </w:r>
      <w:r>
        <w:t xml:space="preserve">excluídos na triagem →</w:t>
      </w:r>
      <w:r>
        <w:t xml:space="preserve"> </w:t>
      </w:r>
      <w:r>
        <w:rPr>
          <w:bCs/>
          <w:b/>
        </w:rPr>
        <w:t xml:space="preserve">28</w:t>
      </w:r>
      <w:r>
        <w:t xml:space="preserve"> </w:t>
      </w:r>
      <w:r>
        <w:t xml:space="preserve">para texto completo +</w:t>
      </w:r>
      <w:r>
        <w:t xml:space="preserve"> </w:t>
      </w:r>
      <w:r>
        <w:rPr>
          <w:bCs/>
          <w:b/>
        </w:rPr>
        <w:t xml:space="preserve">4</w:t>
      </w:r>
      <w:r>
        <w:t xml:space="preserve"> </w:t>
      </w:r>
      <w:r>
        <w:t xml:space="preserve">por citação =</w:t>
      </w:r>
      <w:r>
        <w:t xml:space="preserve"> </w:t>
      </w:r>
      <w:r>
        <w:rPr>
          <w:bCs/>
          <w:b/>
        </w:rPr>
        <w:t xml:space="preserve">32</w:t>
      </w:r>
      <w:r>
        <w:t xml:space="preserve"> </w:t>
      </w:r>
      <w:r>
        <w:t xml:space="preserve">buscados →</w:t>
      </w:r>
      <w:r>
        <w:t xml:space="preserve"> </w:t>
      </w:r>
      <w:r>
        <w:rPr>
          <w:bCs/>
          <w:b/>
        </w:rPr>
        <w:t xml:space="preserve">6</w:t>
      </w:r>
      <w:r>
        <w:t xml:space="preserve"> </w:t>
      </w:r>
      <w:r>
        <w:t xml:space="preserve">não recuperados →</w:t>
      </w:r>
      <w:r>
        <w:t xml:space="preserve"> </w:t>
      </w:r>
      <w:r>
        <w:rPr>
          <w:bCs/>
          <w:b/>
        </w:rPr>
        <w:t xml:space="preserve">26</w:t>
      </w:r>
      <w:r>
        <w:t xml:space="preserve"> </w:t>
      </w:r>
      <w:r>
        <w:t xml:space="preserve">avaliados →</w:t>
      </w:r>
      <w:r>
        <w:t xml:space="preserve"> </w:t>
      </w:r>
      <w:r>
        <w:rPr>
          <w:bCs/>
          <w:b/>
        </w:rPr>
        <w:t xml:space="preserve">4</w:t>
      </w:r>
      <w:r>
        <w:t xml:space="preserve"> </w:t>
      </w:r>
      <w:r>
        <w:t xml:space="preserve">excluídos (1 resumo de congresso sem dados; 3 população/contexto inelegível) →</w:t>
      </w:r>
      <w:r>
        <w:t xml:space="preserve"> </w:t>
      </w:r>
      <w:r>
        <w:rPr>
          <w:bCs/>
          <w:b/>
        </w:rPr>
        <w:t xml:space="preserve">22</w:t>
      </w:r>
      <w:r>
        <w:t xml:space="preserve"> </w:t>
      </w:r>
      <w:r>
        <w:t xml:space="preserve">relatórios incluídos.</w:t>
      </w:r>
    </w:p>
    <w:p>
      <w:pPr>
        <w:numPr>
          <w:ilvl w:val="0"/>
          <w:numId w:val="1041"/>
        </w:numPr>
        <w:pStyle w:val="Compact"/>
      </w:pPr>
      <w:r>
        <w:rPr>
          <w:bCs/>
          <w:b/>
        </w:rPr>
        <w:t xml:space="preserve">9</w:t>
      </w:r>
      <w:r>
        <w:t xml:space="preserve"> </w:t>
      </w:r>
      <w:r>
        <w:t xml:space="preserve">países: Turquia, Malásia, Brasil, Paquistão, China, México, EUA, Sudão, Tailândia.</w:t>
      </w:r>
      <w:r>
        <w:t xml:space="preserve"> </w:t>
      </w:r>
      <w:r>
        <w:rPr>
          <w:bCs/>
          <w:b/>
        </w:rPr>
        <w:t xml:space="preserve">3</w:t>
      </w:r>
      <w:r>
        <w:t xml:space="preserve"> </w:t>
      </w:r>
      <w:r>
        <w:t xml:space="preserve">coortes prospectivas (Navarro 2016; Stanganelli 2019; Stanganelli Caus 2025); as demais transversais.</w:t>
      </w:r>
    </w:p>
    <w:p>
      <w:pPr>
        <w:numPr>
          <w:ilvl w:val="0"/>
          <w:numId w:val="1041"/>
        </w:numPr>
        <w:pStyle w:val="Compact"/>
      </w:pPr>
      <w:r>
        <w:t xml:space="preserve">Cluster brasileiro (Paraná):</w:t>
      </w:r>
      <w:r>
        <w:t xml:space="preserve"> </w:t>
      </w:r>
      <w:r>
        <w:rPr>
          <w:bCs/>
          <w:b/>
        </w:rPr>
        <w:t xml:space="preserve">7</w:t>
      </w:r>
      <w:r>
        <w:t xml:space="preserve"> </w:t>
      </w:r>
      <w:r>
        <w:t xml:space="preserve">publicações com sobreposição amostral →</w:t>
      </w:r>
      <w:r>
        <w:t xml:space="preserve"> </w:t>
      </w:r>
      <w:r>
        <w:rPr>
          <w:bCs/>
          <w:b/>
        </w:rPr>
        <w:t xml:space="preserve">1</w:t>
      </w:r>
      <w:r>
        <w:t xml:space="preserve"> </w:t>
      </w:r>
      <w:r>
        <w:t xml:space="preserve">representante por desfecho (Bieniek et al., 2022).</w:t>
      </w:r>
    </w:p>
    <w:bookmarkEnd w:id="109"/>
    <w:bookmarkStart w:id="110" w:name="metanálise"/>
    <w:p>
      <w:pPr>
        <w:pStyle w:val="Heading3"/>
      </w:pPr>
      <w:r>
        <w:t xml:space="preserve">Metanálise</w:t>
      </w:r>
    </w:p>
    <w:p>
      <w:pPr>
        <w:numPr>
          <w:ilvl w:val="0"/>
          <w:numId w:val="1042"/>
        </w:numPr>
        <w:pStyle w:val="Compact"/>
      </w:pPr>
      <w:r>
        <w:rPr>
          <w:bCs/>
          <w:b/>
        </w:rPr>
        <w:t xml:space="preserve">Sintoma ocular (principal):</w:t>
      </w:r>
      <w:r>
        <w:t xml:space="preserve"> </w:t>
      </w:r>
      <w:r>
        <w:t xml:space="preserve">37,6% (IC95% 21,9–56,5); intervalo de predição 7–83%; I² = 93%; k = 6; n = 756; Q = 67,81 (gl 5); τ² = 0,493 (escala logito).</w:t>
      </w:r>
    </w:p>
    <w:p>
      <w:pPr>
        <w:numPr>
          <w:ilvl w:val="0"/>
          <w:numId w:val="1042"/>
        </w:numPr>
        <w:pStyle w:val="Compact"/>
      </w:pPr>
      <w:r>
        <w:rPr>
          <w:bCs/>
          <w:b/>
        </w:rPr>
        <w:t xml:space="preserve">Sintoma respiratório (exploratório):</w:t>
      </w:r>
      <w:r>
        <w:t xml:space="preserve"> </w:t>
      </w:r>
      <w:r>
        <w:t xml:space="preserve">41,7% (IC95% 30,4–53,9); IP 15–74%; I² = 91%; k = 7; n = 1.428; Q = 65,08 (gl 6); τ² = 0,249.</w:t>
      </w:r>
    </w:p>
    <w:p>
      <w:pPr>
        <w:numPr>
          <w:ilvl w:val="0"/>
          <w:numId w:val="1042"/>
        </w:numPr>
        <w:pStyle w:val="Compact"/>
      </w:pPr>
      <w:r>
        <w:rPr>
          <w:bCs/>
          <w:b/>
        </w:rPr>
        <w:t xml:space="preserve">Qualquer sintoma (narrativo):</w:t>
      </w:r>
      <w:r>
        <w:t xml:space="preserve"> </w:t>
      </w:r>
      <w:r>
        <w:t xml:space="preserve">55,6% (Mohd Fikri Rosely 2022) e 73,2% (Van Giersbergen 2019).</w:t>
      </w:r>
    </w:p>
    <w:p>
      <w:pPr>
        <w:numPr>
          <w:ilvl w:val="0"/>
          <w:numId w:val="1042"/>
        </w:numPr>
        <w:pStyle w:val="Compact"/>
      </w:pPr>
      <w:r>
        <w:rPr>
          <w:bCs/>
          <w:b/>
        </w:rPr>
        <w:t xml:space="preserve">Modelos concordantes:</w:t>
      </w:r>
      <w:r>
        <w:t xml:space="preserve"> </w:t>
      </w:r>
      <w:r>
        <w:t xml:space="preserve">ocular 37,6 / 38,1 / 37,5% (logito-HK / Freeman-Tukey / GLMM); respiratório 41,7 / 41,7 / 42,0%.</w:t>
      </w:r>
    </w:p>
    <w:p>
      <w:pPr>
        <w:numPr>
          <w:ilvl w:val="0"/>
          <w:numId w:val="1042"/>
        </w:numPr>
        <w:pStyle w:val="Compact"/>
      </w:pPr>
      <w:r>
        <w:rPr>
          <w:bCs/>
          <w:b/>
        </w:rPr>
        <w:t xml:space="preserve">Leave-one-out:</w:t>
      </w:r>
      <w:r>
        <w:t xml:space="preserve"> </w:t>
      </w:r>
      <w:r>
        <w:t xml:space="preserve">ocular 34,3–42,1%; respiratório 38,9–45,5%.</w:t>
      </w:r>
    </w:p>
    <w:p>
      <w:pPr>
        <w:numPr>
          <w:ilvl w:val="0"/>
          <w:numId w:val="1042"/>
        </w:numPr>
        <w:pStyle w:val="Compact"/>
      </w:pPr>
      <w:r>
        <w:rPr>
          <w:bCs/>
          <w:b/>
        </w:rPr>
        <w:t xml:space="preserve">Sem o resumo de congresso:</w:t>
      </w:r>
      <w:r>
        <w:t xml:space="preserve"> </w:t>
      </w:r>
      <w:r>
        <w:t xml:space="preserve">ocular 42,1% (I² 89%; k = 5); respiratório 42,4% (I² 90%; k = 6).</w:t>
      </w:r>
    </w:p>
    <w:p>
      <w:pPr>
        <w:numPr>
          <w:ilvl w:val="0"/>
          <w:numId w:val="1042"/>
        </w:numPr>
        <w:pStyle w:val="Compact"/>
      </w:pPr>
      <w:r>
        <w:rPr>
          <w:bCs/>
          <w:b/>
        </w:rPr>
        <w:t xml:space="preserve">Definições específicas:</w:t>
      </w:r>
      <w:r>
        <w:t xml:space="preserve"> </w:t>
      </w:r>
      <w:r>
        <w:t xml:space="preserve">respiratório 35,8% (IC95% 25,8–47,2; I² 61%; k = 5); ocular sem Bieniek 2022: 36,5% (I² 94%).</w:t>
      </w:r>
    </w:p>
    <w:p>
      <w:pPr>
        <w:numPr>
          <w:ilvl w:val="0"/>
          <w:numId w:val="1042"/>
        </w:numPr>
        <w:pStyle w:val="Compact"/>
      </w:pPr>
      <w:r>
        <w:rPr>
          <w:bCs/>
          <w:b/>
        </w:rPr>
        <w:t xml:space="preserve">Sem Van Giersbergen 2019 (definição mais divergente):</w:t>
      </w:r>
      <w:r>
        <w:t xml:space="preserve"> </w:t>
      </w:r>
      <w:r>
        <w:t xml:space="preserve">respiratório 38,9%.</w:t>
      </w:r>
    </w:p>
    <w:p>
      <w:pPr>
        <w:numPr>
          <w:ilvl w:val="0"/>
          <w:numId w:val="1042"/>
        </w:numPr>
        <w:pStyle w:val="Compact"/>
      </w:pPr>
      <w:r>
        <w:rPr>
          <w:bCs/>
          <w:b/>
        </w:rPr>
        <w:t xml:space="preserve">Subgrupo por país (ocular):</w:t>
      </w:r>
      <w:r>
        <w:t xml:space="preserve"> </w:t>
      </w:r>
      <w:r>
        <w:t xml:space="preserve">Turquia 50,5% (k = 3; n = 268; I² 57%); Malásia 19,8% (k = 2; n = 333; I² 0%); Brasil 43,2% (k = 1); teste Q entre subgrupos p &lt; 0,001 (exploratório).</w:t>
      </w:r>
    </w:p>
    <w:p>
      <w:pPr>
        <w:numPr>
          <w:ilvl w:val="0"/>
          <w:numId w:val="1042"/>
        </w:numPr>
        <w:pStyle w:val="Compact"/>
      </w:pPr>
      <w:r>
        <w:rPr>
          <w:bCs/>
          <w:b/>
        </w:rPr>
        <w:t xml:space="preserve">Baujat:</w:t>
      </w:r>
      <w:r>
        <w:t xml:space="preserve"> </w:t>
      </w:r>
      <w:r>
        <w:t xml:space="preserve">Mohd Fikri Rosely 2022 é o estudo que mais contribui para a heterogeneidade e mais influencia a estimativa ocular.</w:t>
      </w:r>
    </w:p>
    <w:bookmarkEnd w:id="110"/>
    <w:bookmarkStart w:id="111" w:name="X2c0b6ab453eae530b62435d7f19a95a4369bf92"/>
    <w:p>
      <w:pPr>
        <w:pStyle w:val="Heading3"/>
      </w:pPr>
      <w:r>
        <w:t xml:space="preserve">Desfechos objetivos (um estudo por desfecho)</w:t>
      </w:r>
    </w:p>
    <w:p>
      <w:pPr>
        <w:numPr>
          <w:ilvl w:val="0"/>
          <w:numId w:val="1043"/>
        </w:numPr>
        <w:pStyle w:val="Compact"/>
      </w:pPr>
      <w:r>
        <w:rPr>
          <w:bCs/>
          <w:b/>
        </w:rPr>
        <w:t xml:space="preserve">Espirometria</w:t>
      </w:r>
      <w:r>
        <w:t xml:space="preserve"> </w:t>
      </w:r>
      <w:r>
        <w:t xml:space="preserve">(Ibrahim et al., 2025; Sudão; 92 vs 92 pareados por idade, sexo e estatura; fumantes excluídos): VEF1 2,78 vs 3,14 L; CVF 3,02 vs 3,45 L; PFE 327,5 vs 483,5 L/min (p = 0,001, Mann-Whitney); VEF1/CVF 91,9% vs 91,0% (p = 0,012); mais tempo de atuação → menores valores (ajuste por idade e IMC); manobras de qualidade B/C em 44 de 184.</w:t>
      </w:r>
    </w:p>
    <w:p>
      <w:pPr>
        <w:numPr>
          <w:ilvl w:val="0"/>
          <w:numId w:val="1043"/>
        </w:numPr>
        <w:pStyle w:val="Compact"/>
      </w:pPr>
      <w:r>
        <w:rPr>
          <w:bCs/>
          <w:b/>
        </w:rPr>
        <w:t xml:space="preserve">Biomarcadores urinários</w:t>
      </w:r>
      <w:r>
        <w:t xml:space="preserve"> </w:t>
      </w:r>
      <w:r>
        <w:t xml:space="preserve">(Canicoba, 2025; Brasil; 52 vs 49 para metabólitos; 52 vs 52 para perfil oxidativo): ácido trans,trans-mucônico 202,89 vs 46,06 µg/L (benzeno); ácido metil-hipúrico 468,18 vs 184,40 µg/L (xileno); malondialdeído 9,33 vs 3,22 nmol/mg; todos p &lt; 0,001; sem IC.</w:t>
      </w:r>
    </w:p>
    <w:p>
      <w:pPr>
        <w:numPr>
          <w:ilvl w:val="0"/>
          <w:numId w:val="1043"/>
        </w:numPr>
        <w:pStyle w:val="Compact"/>
      </w:pPr>
      <w:r>
        <w:rPr>
          <w:bCs/>
          <w:b/>
        </w:rPr>
        <w:t xml:space="preserve">Mucosa nasal</w:t>
      </w:r>
      <w:r>
        <w:t xml:space="preserve"> </w:t>
      </w:r>
      <w:r>
        <w:t xml:space="preserve">(Navarro et al., 2016; México; coorte de 4 anos; 23 vs 20): metaplasia/hiperplasia 70% (16/23) vs 5% (1/20); RR 13,9 (IC95% 2,0–95,8).</w:t>
      </w:r>
    </w:p>
    <w:p>
      <w:pPr>
        <w:numPr>
          <w:ilvl w:val="0"/>
          <w:numId w:val="1043"/>
        </w:numPr>
        <w:pStyle w:val="Compact"/>
      </w:pPr>
      <w:r>
        <w:rPr>
          <w:bCs/>
          <w:b/>
        </w:rPr>
        <w:t xml:space="preserve">HPV-DNA nasal</w:t>
      </w:r>
      <w:r>
        <w:t xml:space="preserve"> </w:t>
      </w:r>
      <w:r>
        <w:t xml:space="preserve">(Hu et al., 2021; China; 700 ginecologistas): 8,96% (42/469) vs 1,73% (4/231); RR 5,2 (IC95% 1,9–14,2); 0/196 com N95 vs 13,98% (33/236) com máscara comum (subgrupo sem ajuste).</w:t>
      </w:r>
    </w:p>
    <w:p>
      <w:pPr>
        <w:numPr>
          <w:ilvl w:val="0"/>
          <w:numId w:val="1043"/>
        </w:numPr>
        <w:pStyle w:val="Compact"/>
      </w:pPr>
      <w:r>
        <w:rPr>
          <w:bCs/>
          <w:b/>
        </w:rPr>
        <w:t xml:space="preserve">Coorte Stanganelli Caus 2025:</w:t>
      </w:r>
      <w:r>
        <w:t xml:space="preserve"> </w:t>
      </w:r>
      <w:r>
        <w:t xml:space="preserve">HR 1,5 (IC95% 0,99–2,42; p = 0,05), IC inclui o nulo.</w:t>
      </w:r>
    </w:p>
    <w:p>
      <w:pPr>
        <w:numPr>
          <w:ilvl w:val="0"/>
          <w:numId w:val="1043"/>
        </w:numPr>
        <w:pStyle w:val="Compact"/>
      </w:pPr>
      <w:r>
        <w:rPr>
          <w:bCs/>
          <w:b/>
        </w:rPr>
        <w:t xml:space="preserve">Câncer ou DPOC:</w:t>
      </w:r>
      <w:r>
        <w:t xml:space="preserve"> </w:t>
      </w:r>
      <w:r>
        <w:t xml:space="preserve">0 estudos (vazio de evidência).</w:t>
      </w:r>
    </w:p>
    <w:bookmarkEnd w:id="111"/>
    <w:bookmarkStart w:id="112" w:name="certeza-e-risco-de-viés"/>
    <w:p>
      <w:pPr>
        <w:pStyle w:val="Heading3"/>
      </w:pPr>
      <w:r>
        <w:t xml:space="preserve">Certeza e risco de viés</w:t>
      </w:r>
    </w:p>
    <w:p>
      <w:pPr>
        <w:numPr>
          <w:ilvl w:val="0"/>
          <w:numId w:val="1044"/>
        </w:numPr>
        <w:pStyle w:val="Compact"/>
      </w:pPr>
      <w:r>
        <w:t xml:space="preserve">GRADE:</w:t>
      </w:r>
      <w:r>
        <w:t xml:space="preserve"> </w:t>
      </w:r>
      <w:r>
        <w:rPr>
          <w:bCs/>
          <w:b/>
        </w:rPr>
        <w:t xml:space="preserve">muito baixa</w:t>
      </w:r>
      <w:r>
        <w:t xml:space="preserve"> </w:t>
      </w:r>
      <w:r>
        <w:t xml:space="preserve">em todos os desfechos (ponto de partida: baixa).</w:t>
      </w:r>
    </w:p>
    <w:p>
      <w:pPr>
        <w:numPr>
          <w:ilvl w:val="0"/>
          <w:numId w:val="1044"/>
        </w:numPr>
        <w:pStyle w:val="Compact"/>
      </w:pPr>
      <w:r>
        <w:t xml:space="preserve">JBI: prevalência 9 itens; transversal analítico 8; coorte 11. Preocupação moderada/alta em todos os sete estudos das metanálises; nenhum com preocupação baixa. Só Mohd Fikri Rosely e Titi Rahmawati (2019) usaram amostragem aleatória estratificada.</w:t>
      </w:r>
    </w:p>
    <w:bookmarkEnd w:id="112"/>
    <w:bookmarkStart w:id="113" w:name="identificadores-e-datas"/>
    <w:p>
      <w:pPr>
        <w:pStyle w:val="Heading3"/>
      </w:pPr>
      <w:r>
        <w:t xml:space="preserve">Identificadores e datas</w:t>
      </w:r>
    </w:p>
    <w:p>
      <w:pPr>
        <w:numPr>
          <w:ilvl w:val="0"/>
          <w:numId w:val="1045"/>
        </w:numPr>
        <w:pStyle w:val="Compact"/>
      </w:pPr>
      <w:r>
        <w:t xml:space="preserve">PROSPERO CRD420251238727 (antes da extração) · Dispensa do CEP: protocolo 2025/0743 (Res. CNS 510/2016) · OSF: osf.io/jktmn.</w:t>
      </w:r>
    </w:p>
    <w:p>
      <w:pPr>
        <w:numPr>
          <w:ilvl w:val="0"/>
          <w:numId w:val="1045"/>
        </w:numPr>
        <w:pStyle w:val="Compact"/>
      </w:pPr>
      <w:r>
        <w:t xml:space="preserve">Última busca: 09/07/2026 · IA usada entre julho e agosto de 2026 (Portaria CNPq nº 2.664/2026) · Python 3.13, NumPy 2.4, SciPy 1.18, statsmodels 0.14 · Zotero 6, Rayyan, OpenAlex.</w:t>
      </w:r>
    </w:p>
    <w:bookmarkEnd w:id="113"/>
    <w:bookmarkEnd w:id="114"/>
    <w:bookmarkStart w:id="118" w:name="Xeac6ab9ec5c68d123493ccd8b43f9e12c598817"/>
    <w:p>
      <w:pPr>
        <w:pStyle w:val="Heading2"/>
      </w:pPr>
      <w:r>
        <w:t xml:space="preserve">Parte 7 — Checklist do dia e postura na banca</w:t>
      </w:r>
    </w:p>
    <w:bookmarkStart w:id="115" w:name="antes-do-dia"/>
    <w:p>
      <w:pPr>
        <w:pStyle w:val="Heading3"/>
      </w:pPr>
      <w:r>
        <w:t xml:space="preserve">Antes do dia</w:t>
      </w:r>
    </w:p>
    <w:p>
      <w:pPr>
        <w:numPr>
          <w:ilvl w:val="0"/>
          <w:numId w:val="1046"/>
        </w:numPr>
        <w:pStyle w:val="Compact"/>
      </w:pPr>
      <w:r>
        <w:t xml:space="preserve">☐ Treinar 5 vezes em voz alta com cronômetro (meta: 9:00–9:40). Gravar uma vez e assistir.</w:t>
      </w:r>
    </w:p>
    <w:p>
      <w:pPr>
        <w:numPr>
          <w:ilvl w:val="0"/>
          <w:numId w:val="1046"/>
        </w:numPr>
        <w:pStyle w:val="Compact"/>
      </w:pPr>
      <w:r>
        <w:t xml:space="preserve">☐ Abrir o PPTX no PowerPoint e conferir as fontes (Arial, Calibri, Tahoma: todas padrão do Office). Conferir os slides 11 e 12 (gráficos de floresta) no projetor, se possível.</w:t>
      </w:r>
    </w:p>
    <w:p>
      <w:pPr>
        <w:numPr>
          <w:ilvl w:val="0"/>
          <w:numId w:val="1046"/>
        </w:numPr>
        <w:pStyle w:val="Compact"/>
      </w:pPr>
      <w:r>
        <w:t xml:space="preserve">☐ Salvar no pen drive: o PPTX e o PDF (o PDF é o plano B se o computador da sala não abrir o PowerPoint corretamente).</w:t>
      </w:r>
    </w:p>
    <w:p>
      <w:pPr>
        <w:numPr>
          <w:ilvl w:val="0"/>
          <w:numId w:val="1046"/>
        </w:numPr>
        <w:pStyle w:val="Compact"/>
      </w:pPr>
      <w:r>
        <w:t xml:space="preserve">☐ Imprimir este guia (ou ao menos a Parte 1 e a Parte 6) para revisar na fila.</w:t>
      </w:r>
    </w:p>
    <w:p>
      <w:pPr>
        <w:numPr>
          <w:ilvl w:val="0"/>
          <w:numId w:val="1046"/>
        </w:numPr>
        <w:pStyle w:val="Compact"/>
      </w:pPr>
      <w:r>
        <w:t xml:space="preserve">☐ Conferir o horário e a sala no cronograma oficial; chegar 10 minutos antes para copiar o arquivo e testar.</w:t>
      </w:r>
    </w:p>
    <w:bookmarkEnd w:id="115"/>
    <w:bookmarkStart w:id="116" w:name="na-sala"/>
    <w:p>
      <w:pPr>
        <w:pStyle w:val="Heading3"/>
      </w:pPr>
      <w:r>
        <w:t xml:space="preserve">Na sala</w:t>
      </w:r>
    </w:p>
    <w:p>
      <w:pPr>
        <w:numPr>
          <w:ilvl w:val="0"/>
          <w:numId w:val="1047"/>
        </w:numPr>
        <w:pStyle w:val="Compact"/>
      </w:pPr>
      <w:r>
        <w:t xml:space="preserve">☐ Testar o modo</w:t>
      </w:r>
      <w:r>
        <w:t xml:space="preserve"> </w:t>
      </w:r>
      <w:r>
        <w:t xml:space="preserve">“</w:t>
      </w:r>
      <w:r>
        <w:t xml:space="preserve">Exibição do Apresentador</w:t>
      </w:r>
      <w:r>
        <w:t xml:space="preserve">”</w:t>
      </w:r>
      <w:r>
        <w:t xml:space="preserve"> </w:t>
      </w:r>
      <w:r>
        <w:t xml:space="preserve">(as notas de fala estão nos slides). Se não houver segunda tela, use a versão impressa do roteiro.</w:t>
      </w:r>
    </w:p>
    <w:p>
      <w:pPr>
        <w:numPr>
          <w:ilvl w:val="0"/>
          <w:numId w:val="1047"/>
        </w:numPr>
        <w:pStyle w:val="Compact"/>
      </w:pPr>
      <w:r>
        <w:t xml:space="preserve">☐ Cronômetro no celular ou relógio em modo silencioso.</w:t>
      </w:r>
    </w:p>
    <w:p>
      <w:pPr>
        <w:numPr>
          <w:ilvl w:val="0"/>
          <w:numId w:val="1047"/>
        </w:numPr>
        <w:pStyle w:val="Compact"/>
      </w:pPr>
      <w:r>
        <w:t xml:space="preserve">☐ Ao terminar, deixar o slide 20 (encerramento) na tela durante as perguntas.</w:t>
      </w:r>
    </w:p>
    <w:bookmarkEnd w:id="116"/>
    <w:bookmarkStart w:id="117" w:name="postura-nas-perguntas"/>
    <w:p>
      <w:pPr>
        <w:pStyle w:val="Heading3"/>
      </w:pPr>
      <w:r>
        <w:t xml:space="preserve">Postura nas perguntas</w:t>
      </w:r>
    </w:p>
    <w:p>
      <w:pPr>
        <w:numPr>
          <w:ilvl w:val="0"/>
          <w:numId w:val="1048"/>
        </w:numPr>
        <w:pStyle w:val="Compact"/>
      </w:pPr>
      <w:r>
        <w:t xml:space="preserve">Ouça a pergunta inteira; repita-a em uma frase (</w:t>
      </w:r>
      <w:r>
        <w:t xml:space="preserve">“</w:t>
      </w:r>
      <w:r>
        <w:t xml:space="preserve">A pergunta é sobre…</w:t>
      </w:r>
      <w:r>
        <w:t xml:space="preserve">”</w:t>
      </w:r>
      <w:r>
        <w:t xml:space="preserve">) para ganhar 3 segundos e confirmar o entendimento.</w:t>
      </w:r>
    </w:p>
    <w:p>
      <w:pPr>
        <w:numPr>
          <w:ilvl w:val="0"/>
          <w:numId w:val="1048"/>
        </w:numPr>
        <w:pStyle w:val="Compact"/>
      </w:pPr>
      <w:r>
        <w:t xml:space="preserve">Responda em 30–60 segundos: afirmação direta → número ou decisão do manuscrito → limitação reconhecida → o que mitigou.</w:t>
      </w:r>
    </w:p>
    <w:p>
      <w:pPr>
        <w:numPr>
          <w:ilvl w:val="0"/>
          <w:numId w:val="1048"/>
        </w:numPr>
        <w:pStyle w:val="Compact"/>
      </w:pPr>
      <w:r>
        <w:t xml:space="preserve">Se não souber:</w:t>
      </w:r>
      <w:r>
        <w:t xml:space="preserve"> </w:t>
      </w:r>
      <w:r>
        <w:t xml:space="preserve">“</w:t>
      </w:r>
      <w:r>
        <w:t xml:space="preserve">Este trabalho não permite responder isso diretamente; o que posso afirmar é… e para responder seria necessário…</w:t>
      </w:r>
      <w:r>
        <w:t xml:space="preserve">”</w:t>
      </w:r>
      <w:r>
        <w:t xml:space="preserve">. Nunca invente número.</w:t>
      </w:r>
    </w:p>
    <w:p>
      <w:pPr>
        <w:numPr>
          <w:ilvl w:val="0"/>
          <w:numId w:val="1048"/>
        </w:numPr>
        <w:pStyle w:val="Compact"/>
      </w:pPr>
      <w:r>
        <w:t xml:space="preserve">Limitações são a sua força, não a sua fraqueza: revisor único, I² alto, certeza muito baixa e vazio de evidência estão todos declarados e justificados no manuscrito. Diga isso com calma.</w:t>
      </w:r>
    </w:p>
    <w:p>
      <w:pPr>
        <w:numPr>
          <w:ilvl w:val="0"/>
          <w:numId w:val="1048"/>
        </w:numPr>
        <w:pStyle w:val="Compact"/>
      </w:pPr>
      <w:r>
        <w:t xml:space="preserve">Frase-âncora para fechar qualquer resposta sobre risco:</w:t>
      </w:r>
      <w:r>
        <w:t xml:space="preserve"> </w:t>
      </w:r>
      <w:r>
        <w:t xml:space="preserve">“</w:t>
      </w:r>
      <w:r>
        <w:t xml:space="preserve">a metanálise estima a frequência de sintomas em populações expostas; o efeito causal da fumaça depende dos estudos comparativos, e esses ainda são poucos</w:t>
      </w:r>
      <w:r>
        <w:t xml:space="preserve">”</w:t>
      </w:r>
      <w:r>
        <w:t xml:space="preserve">.</w:t>
      </w:r>
    </w:p>
    <w:bookmarkEnd w:id="117"/>
    <w:bookmarkEnd w:id="118"/>
    <w:bookmarkStart w:id="124" w:name="Xec2b084e8afa5aa03f05c3a182913657ab09cc1"/>
    <w:p>
      <w:pPr>
        <w:pStyle w:val="Heading2"/>
      </w:pPr>
      <w:r>
        <w:t xml:space="preserve">Apêndice — Registro das verificações das respostas</w:t>
      </w:r>
    </w:p>
    <w:p>
      <w:pPr>
        <w:pStyle w:val="FirstParagraph"/>
      </w:pPr>
      <w:r>
        <w:t xml:space="preserve">Resumo do que o segundo revisor corrigiu em cada bloco de perguntas ao conferir as respostas contra o manuscrito. Serve como lista de pontos sensíveis: se a correção foi necessária aqui, a banca também pode tropeçar nela.</w:t>
      </w:r>
    </w:p>
    <w:bookmarkStart w:id="119" w:name="estatística-e-metanálise"/>
    <w:p>
      <w:pPr>
        <w:pStyle w:val="Heading3"/>
      </w:pPr>
      <w:r>
        <w:t xml:space="preserve">Estatística e metanálise</w:t>
      </w:r>
    </w:p>
    <w:p>
      <w:pPr>
        <w:numPr>
          <w:ilvl w:val="0"/>
          <w:numId w:val="1049"/>
        </w:numPr>
        <w:pStyle w:val="Compact"/>
      </w:pPr>
      <w:r>
        <w:t xml:space="preserve">Pergunta 1:</w:t>
      </w:r>
      <w:r>
        <w:t xml:space="preserve"> </w:t>
      </w:r>
      <w:r>
        <w:t xml:space="preserve">‘</w:t>
      </w:r>
      <w:r>
        <w:t xml:space="preserve">estudos de nove países</w:t>
      </w:r>
      <w:r>
        <w:t xml:space="preserve">’</w:t>
      </w:r>
      <w:r>
        <w:t xml:space="preserve"> </w:t>
      </w:r>
      <w:r>
        <w:t xml:space="preserve">estava errado para a metanálise; os seis estudos oculares vêm de três países (Turquia, Malásia e Brasil); nove países é o conjunto dos 22 relatórios. Corrigido na resposta e na dica. 2) Pergunta 2: Van Giersbergen 2019 não contribuiu</w:t>
      </w:r>
      <w:r>
        <w:t xml:space="preserve"> </w:t>
      </w:r>
      <w:r>
        <w:t xml:space="preserve">‘</w:t>
      </w:r>
      <w:r>
        <w:t xml:space="preserve">apenas para vias aéreas</w:t>
      </w:r>
      <w:r>
        <w:t xml:space="preserve">’</w:t>
      </w:r>
      <w:r>
        <w:t xml:space="preserve">; também entrou na síntese narrativa de</w:t>
      </w:r>
      <w:r>
        <w:t xml:space="preserve"> </w:t>
      </w:r>
      <w:r>
        <w:t xml:space="preserve">‘</w:t>
      </w:r>
      <w:r>
        <w:t xml:space="preserve">qualquer sintoma</w:t>
      </w:r>
      <w:r>
        <w:t xml:space="preserve">’</w:t>
      </w:r>
      <w:r>
        <w:t xml:space="preserve"> </w:t>
      </w:r>
      <w:r>
        <w:t xml:space="preserve">(73,2%), conforme Anexo D1. Corrigido. 3) Perguntas 3 e 9: a faixa</w:t>
      </w:r>
      <w:r>
        <w:t xml:space="preserve"> </w:t>
      </w:r>
      <w:r>
        <w:t xml:space="preserve">‘</w:t>
      </w:r>
      <w:r>
        <w:t xml:space="preserve">de 81 a 672</w:t>
      </w:r>
      <w:r>
        <w:t xml:space="preserve">’</w:t>
      </w:r>
      <w:r>
        <w:t xml:space="preserve"> </w:t>
      </w:r>
      <w:r>
        <w:t xml:space="preserve">vale só para o agrupamento respiratório; no ocular é de 81 a 196. Corrigido. 4) Pergunta 3: a crítica à retrotransformação do Freeman-Tukey era atribuída a Barker 2021 como se fosse citação do texto; o manuscrito cita Barker apenas para a implementação (DerSimonian-Laird, intervalo normal, média harmônica). Reclassificado como conhecimento geral (Schwarzer 2019, fora das referências) e acrescentado</w:t>
      </w:r>
      <w:r>
        <w:t xml:space="preserve"> </w:t>
      </w:r>
      <w:r>
        <w:t xml:space="preserve">‘</w:t>
      </w:r>
      <w:r>
        <w:t xml:space="preserve">intervalo normal</w:t>
      </w:r>
      <w:r>
        <w:t xml:space="preserve">’</w:t>
      </w:r>
      <w:r>
        <w:t xml:space="preserve">. 5) Pergunta 4: acrescentada a ressalva de que a comparação logito/Paule-Mandel versus Freeman-Tukey/DerSimonian-Laird muda transformação e estimador ao mesmo tempo, e dica de que o manuscrito adota Paule-Mandel sem justificá-lo. 6) Pergunta 6: registrado que o próprio texto (Discussão) diz que I² alto é esperado em metanálise de prevalência, não só conhecimento geral. 7) Pergunta 8: especificado que a Figura G3 é do sintoma ocular. 8) Pergunta 7, dica: reproduzi a conta do intervalo de predição com tau² 0,493 e 0,249, o IC de Hartung-Knapp e t com k−2 gl: 6,8-83,4% e 15,2-74,0%, que fecham com 7-83% e 15-74%. 9) Pergunta 13, dica: reproduzi os IC de Wald (2,02-95,8 e 1,88-14,25) e registrei que os RR foram calculados pelos autores (nota da Tabela 3). 10) Pergunta 10, dica: alerta de que o texto não identifica os estudos dos extremos 34,3% e 45,5%. 11) Pergunta 12: enxugada para reduzir redundância com as perguntas 4, 5 e 8. Todos os demais números (IC, IP, I², Q, gl, tau², k, n, RR, contagens do PRISMA, data da busca, PROSPERO, OSF, software) conferem com o manuscrito. Nenhuma pergunta foi substituída.</w:t>
      </w:r>
    </w:p>
    <w:bookmarkEnd w:id="119"/>
    <w:bookmarkStart w:id="120" w:name="metodologia-de-revisão-sistemática"/>
    <w:p>
      <w:pPr>
        <w:pStyle w:val="Heading3"/>
      </w:pPr>
      <w:r>
        <w:t xml:space="preserve">Metodologia de revisão sistemática</w:t>
      </w:r>
    </w:p>
    <w:p>
      <w:pPr>
        <w:pStyle w:val="FirstParagraph"/>
      </w:pPr>
      <w:r>
        <w:t xml:space="preserve">Todos os números conferidos contra o manuscrito estavam corretos (fluxo PRISMA, resultados por base, prevalências, IC, IP, I², k, n, sensibilidades, RR, datas, registro PROSPERO, Portaria CNPq, lista dos seis não recuperados e dos quatro excluídos). Correções e ajustes feitos: (1) Pergunta sobre sobreposição: a frase de impacto</w:t>
      </w:r>
      <w:r>
        <w:t xml:space="preserve"> </w:t>
      </w:r>
      <w:r>
        <w:t xml:space="preserve">‘</w:t>
      </w:r>
      <w:r>
        <w:t xml:space="preserve">22 relatórios, 7 amostras independentes</w:t>
      </w:r>
      <w:r>
        <w:t xml:space="preserve">’</w:t>
      </w:r>
      <w:r>
        <w:t xml:space="preserve"> </w:t>
      </w:r>
      <w:r>
        <w:t xml:space="preserve">era enganosa, pois o manuscrito fala em seis e sete amostras independentes nas metanálises, não no total dos 22; reescrita como</w:t>
      </w:r>
      <w:r>
        <w:t xml:space="preserve"> </w:t>
      </w:r>
      <w:r>
        <w:t xml:space="preserve">‘</w:t>
      </w:r>
      <w:r>
        <w:t xml:space="preserve">sete amostras independentes nas metanálises</w:t>
      </w:r>
      <w:r>
        <w:t xml:space="preserve">’</w:t>
      </w:r>
      <w:r>
        <w:t xml:space="preserve"> </w:t>
      </w:r>
      <w:r>
        <w:t xml:space="preserve">e acrescentada uma frase com os outros motivos de não agrupamento (Anexo D1); dica ampliada com a declaração do manuscrito de que não se contataram autores para dados adicionais. (2) Pergunta sobre idioma: o motivo da restrição a três idiomas não consta no manuscrito; a resposta passou a dizer isso explicitamente antes de oferecer o motivo plausível, e a dica pede confirmação. (3) Pergunta sobre a estratégia de busca: a finalidade do filtro</w:t>
      </w:r>
      <w:r>
        <w:t xml:space="preserve"> </w:t>
      </w:r>
      <w:r>
        <w:t xml:space="preserve">‘</w:t>
      </w:r>
      <w:r>
        <w:t xml:space="preserve">humans</w:t>
      </w:r>
      <w:r>
        <w:t xml:space="preserve">’</w:t>
      </w:r>
      <w:r>
        <w:t xml:space="preserve"> </w:t>
      </w:r>
      <w:r>
        <w:t xml:space="preserve">não está escrita no manuscrito (só o filtro e sua limitação); marcada como conhecimento geral; acrescentado que o Scopus usa W/5 e que o filtro foi aplicado apenas em PubMed e Embase. (4) Pergunta sobre o JBI: removida a afirmação de que as versões de 2017 foram mantidas</w:t>
      </w:r>
      <w:r>
        <w:t xml:space="preserve"> </w:t>
      </w:r>
      <w:r>
        <w:t xml:space="preserve">‘</w:t>
      </w:r>
      <w:r>
        <w:t xml:space="preserve">porque a avaliação começou com elas</w:t>
      </w:r>
      <w:r>
        <w:t xml:space="preserve">’</w:t>
      </w:r>
      <w:r>
        <w:t xml:space="preserve"> </w:t>
      </w:r>
      <w:r>
        <w:t xml:space="preserve">(o manuscrito diz apenas</w:t>
      </w:r>
      <w:r>
        <w:t xml:space="preserve"> </w:t>
      </w:r>
      <w:r>
        <w:t xml:space="preserve">‘</w:t>
      </w:r>
      <w:r>
        <w:t xml:space="preserve">mantidas por consistência ao longo da revisão</w:t>
      </w:r>
      <w:r>
        <w:t xml:space="preserve">’</w:t>
      </w:r>
      <w:r>
        <w:t xml:space="preserve">); dica passou a situar a exceção de amostragem aleatória</w:t>
      </w:r>
      <w:r>
        <w:t xml:space="preserve"> </w:t>
      </w:r>
      <w:r>
        <w:t xml:space="preserve">‘</w:t>
      </w:r>
      <w:r>
        <w:t xml:space="preserve">entre os sete estudos das metanálises</w:t>
      </w:r>
      <w:r>
        <w:t xml:space="preserve">’</w:t>
      </w:r>
      <w:r>
        <w:t xml:space="preserve"> </w:t>
      </w:r>
      <w:r>
        <w:t xml:space="preserve">e ganhou nota de conhecimento geral sobre Newcastle-Ottawa. (5) Pergunta sobre o PROSPERO: dica ampliada com o ponto das Limitações de que Van Giersbergen (n = 672) não entrou no ocular, deixando o desfecho principal com 756 participantes contra 1.428 do exploratório. (6) Pergunta sobre o resumo de congresso: dica ganhou os valores 19,4% e 20,4% dos dois estudos malaios. (7) Pergunta sobre viés de relato: especificado que a Figura G3 é do sintoma ocular. (8) Respostas longas (PRISMA, PROSPERO, busca, revisor único, IA, não recuperados, sobreposição, JBI, GRADE) condensadas para caberem em 60 segundos, mantendo todos os números; removida a sobreposição entre a resposta do revisor único e a da IA sobre a classificação automatizada. Nenhuma pergunta foi substituída.</w:t>
      </w:r>
    </w:p>
    <w:bookmarkEnd w:id="120"/>
    <w:bookmarkStart w:id="121" w:name="clínica-e-saúde-ocupacional"/>
    <w:p>
      <w:pPr>
        <w:pStyle w:val="Heading3"/>
      </w:pPr>
      <w:r>
        <w:t xml:space="preserve">Clínica e saúde ocupacional</w:t>
      </w:r>
    </w:p>
    <w:p>
      <w:pPr>
        <w:numPr>
          <w:ilvl w:val="0"/>
          <w:numId w:val="1050"/>
        </w:numPr>
        <w:pStyle w:val="Compact"/>
      </w:pPr>
      <w:r>
        <w:t xml:space="preserve">Coexposições (Q10): a resposta afirmava que a coexposição era</w:t>
      </w:r>
      <w:r>
        <w:t xml:space="preserve"> </w:t>
      </w:r>
      <w:r>
        <w:t xml:space="preserve">‘</w:t>
      </w:r>
      <w:r>
        <w:t xml:space="preserve">limitação principal de cada desfecho objetivo no Anexo D2</w:t>
      </w:r>
      <w:r>
        <w:t xml:space="preserve">’</w:t>
      </w:r>
      <w:r>
        <w:t xml:space="preserve">; no manuscrito isso vale só para espirometria (</w:t>
      </w:r>
      <w:r>
        <w:t xml:space="preserve">‘</w:t>
      </w:r>
      <w:r>
        <w:t xml:space="preserve">fumaça + gases anestésicos</w:t>
      </w:r>
      <w:r>
        <w:t xml:space="preserve">’</w:t>
      </w:r>
      <w:r>
        <w:t xml:space="preserve">) e biomarcadores (</w:t>
      </w:r>
      <w:r>
        <w:t xml:space="preserve">‘</w:t>
      </w:r>
      <w:r>
        <w:t xml:space="preserve">coexposições ocupacionais</w:t>
      </w:r>
      <w:r>
        <w:t xml:space="preserve">’</w:t>
      </w:r>
      <w:r>
        <w:t xml:space="preserve">); para metaplasia o D2 registra</w:t>
      </w:r>
      <w:r>
        <w:t xml:space="preserve"> </w:t>
      </w:r>
      <w:r>
        <w:t xml:space="preserve">‘</w:t>
      </w:r>
      <w:r>
        <w:t xml:space="preserve">amostra pequena; IC muito amplo</w:t>
      </w:r>
      <w:r>
        <w:t xml:space="preserve">’</w:t>
      </w:r>
      <w:r>
        <w:t xml:space="preserve"> </w:t>
      </w:r>
      <w:r>
        <w:t xml:space="preserve">e para HPV</w:t>
      </w:r>
      <w:r>
        <w:t xml:space="preserve"> </w:t>
      </w:r>
      <w:r>
        <w:t xml:space="preserve">‘</w:t>
      </w:r>
      <w:r>
        <w:t xml:space="preserve">infectividade não comprovada</w:t>
      </w:r>
      <w:r>
        <w:t xml:space="preserve">’</w:t>
      </w:r>
      <w:r>
        <w:t xml:space="preserve">. No GRADE, a evidência indireta do HPV foi rebaixada por ser marcador de detecção, não por coexposição. Corrigido. 2) Pergunta do diretor/NR-32 substituída: era redundante com a de exaustão vs N95 (mesmas três medidas, NIOSH) e com a do Brasil (NR-32), e afirmava que</w:t>
      </w:r>
      <w:r>
        <w:t xml:space="preserve"> </w:t>
      </w:r>
      <w:r>
        <w:t xml:space="preserve">‘</w:t>
      </w:r>
      <w:r>
        <w:t xml:space="preserve">não existe norma específica que diga instale exaustor</w:t>
      </w:r>
      <w:r>
        <w:t xml:space="preserve">’</w:t>
      </w:r>
      <w:r>
        <w:t xml:space="preserve">, o que extrapola o manuscrito (este diz apenas que a NR-32 não trata especificamente da fumaça). O conteúdo da NR-32 (Portaria MTE nº 485/2005) foi mantido na dica da pergunta de exaustão e na resposta sobre o Brasil. Entrou no lugar uma pergunta mais provável para a lente clínica:</w:t>
      </w:r>
      <w:r>
        <w:t xml:space="preserve"> </w:t>
      </w:r>
      <w:r>
        <w:t xml:space="preserve">‘</w:t>
      </w:r>
      <w:r>
        <w:t xml:space="preserve">prevalência de quê? recordatório? agudo ou crônico?</w:t>
      </w:r>
      <w:r>
        <w:t xml:space="preserve">’</w:t>
      </w:r>
      <w:r>
        <w:t xml:space="preserve">, toda baseada no Anexo D e nas análises de sensibilidade (35,8%; I² de 91% para 61%). 3) Câncer/DPOC: precisado que</w:t>
      </w:r>
      <w:r>
        <w:t xml:space="preserve"> </w:t>
      </w:r>
      <w:r>
        <w:t xml:space="preserve">‘</w:t>
      </w:r>
      <w:r>
        <w:t xml:space="preserve">sem filtro de idioma</w:t>
      </w:r>
      <w:r>
        <w:t xml:space="preserve">’</w:t>
      </w:r>
      <w:r>
        <w:t xml:space="preserve"> </w:t>
      </w:r>
      <w:r>
        <w:t xml:space="preserve">vale para a busca, enquanto a elegibilidade admitiu português, inglês e espanhol. 4) PM2,5:</w:t>
      </w:r>
      <w:r>
        <w:t xml:space="preserve"> </w:t>
      </w:r>
      <w:r>
        <w:t xml:space="preserve">‘</w:t>
      </w:r>
      <w:r>
        <w:t xml:space="preserve">único estudo com medição ambiental</w:t>
      </w:r>
      <w:r>
        <w:t xml:space="preserve">’</w:t>
      </w:r>
      <w:r>
        <w:t xml:space="preserve"> </w:t>
      </w:r>
      <w:r>
        <w:t xml:space="preserve">qualificado como o único com esse desfecho listado na Tabela 1; acrescentado Hill et al. (2012) para a fração respirável. 5) HPV e metaplasia: explicitado que os RR foram calculados pelos autores a partir das tabelas de contingência (Wald, escala logarítmica); relatos de caso descritos como</w:t>
      </w:r>
      <w:r>
        <w:t xml:space="preserve"> </w:t>
      </w:r>
      <w:r>
        <w:t xml:space="preserve">‘</w:t>
      </w:r>
      <w:r>
        <w:t xml:space="preserve">plumas de laser e de eletrocirurgia</w:t>
      </w:r>
      <w:r>
        <w:t xml:space="preserve">’</w:t>
      </w:r>
      <w:r>
        <w:t xml:space="preserve">, conforme o texto. 6) Biomarcadores: acrescentado que a diferença de médias é descritiva, não ajustada e não corresponde ao estimador do teste não paramétrico do original (Anexo D2); n total 104 explicitado. 7) Brasil: acrescentado que Bieniek (2022) mediu por escala agregada por sistema (definição mais ampla) e que sua exclusão deu 36,5%. 8) Bradford Hill:</w:t>
      </w:r>
      <w:r>
        <w:t xml:space="preserve"> </w:t>
      </w:r>
      <w:r>
        <w:t xml:space="preserve">‘</w:t>
      </w:r>
      <w:r>
        <w:t xml:space="preserve">força da associação imprecisa</w:t>
      </w:r>
      <w:r>
        <w:t xml:space="preserve">’</w:t>
      </w:r>
      <w:r>
        <w:t xml:space="preserve"> </w:t>
      </w:r>
      <w:r>
        <w:t xml:space="preserve">reformulada como estimativas pontuais grandes com intervalos muito amplos, fiel ao texto (</w:t>
      </w:r>
      <w:r>
        <w:t xml:space="preserve">‘</w:t>
      </w:r>
      <w:r>
        <w:t xml:space="preserve">precisão baixa</w:t>
      </w:r>
      <w:r>
        <w:t xml:space="preserve">’</w:t>
      </w:r>
      <w:r>
        <w:t xml:space="preserve">). 9) Composição: suavizada a afirmação de que estudos futuros</w:t>
      </w:r>
      <w:r>
        <w:t xml:space="preserve"> </w:t>
      </w:r>
      <w:r>
        <w:t xml:space="preserve">‘</w:t>
      </w:r>
      <w:r>
        <w:t xml:space="preserve">precisam aferir o dispositivo</w:t>
      </w:r>
      <w:r>
        <w:t xml:space="preserve">’</w:t>
      </w:r>
      <w:r>
        <w:t xml:space="preserve"> </w:t>
      </w:r>
      <w:r>
        <w:t xml:space="preserve">— o manuscrito recomenda aferição objetiva da exposição em geral. 10) Trabalhador sadio: explicitado que o manuscrito não quantifica a direção líquida dos vieses (raciocínio do autor). 11) Espirometria: acrescentados p = 0,012 da relação VEF1/CVF e</w:t>
      </w:r>
      <w:r>
        <w:t xml:space="preserve"> </w:t>
      </w:r>
      <w:r>
        <w:t xml:space="preserve">‘</w:t>
      </w:r>
      <w:r>
        <w:t xml:space="preserve">relevância clínica incerta</w:t>
      </w:r>
      <w:r>
        <w:t xml:space="preserve">’</w:t>
      </w:r>
      <w:r>
        <w:t xml:space="preserve">; a pergunta sobre PFE foi enxugada para não repetir os números da anterior e ganhou o rebaixamento por imprecisão (sem medida de efeito nem IC95%). Todos os demais números (37,6%; 21,9–56,5; IP 7–83%; I² 93%; n 756; 41,7%; 30,4–53,9; IP 15–74%; I² 91%; n 1.428; 50,5% Turquia; 19,8% Malásia; 42/469 vs 4/231; 16/23 vs 1/20; 44 de 184; 52/49/104; HR 1,5 0,99–2,42; 22 relatórios; nove países; oito brasileiros) conferem com o manuscrito.</w:t>
      </w:r>
    </w:p>
    <w:bookmarkEnd w:id="121"/>
    <w:bookmarkStart w:id="122" w:name="banca-crítica-pontos-fracos"/>
    <w:p>
      <w:pPr>
        <w:pStyle w:val="Heading3"/>
      </w:pPr>
      <w:r>
        <w:t xml:space="preserve">Banca crítica (pontos fracos)</w:t>
      </w:r>
    </w:p>
    <w:p>
      <w:pPr>
        <w:numPr>
          <w:ilvl w:val="0"/>
          <w:numId w:val="1051"/>
        </w:numPr>
        <w:pStyle w:val="Compact"/>
      </w:pPr>
      <w:r>
        <w:t xml:space="preserve">Q2 (grupo controle): removido</w:t>
      </w:r>
      <w:r>
        <w:t xml:space="preserve"> </w:t>
      </w:r>
      <w:r>
        <w:t xml:space="preserve">‘</w:t>
      </w:r>
      <w:r>
        <w:t xml:space="preserve">nos métodos</w:t>
      </w:r>
      <w:r>
        <w:t xml:space="preserve">’</w:t>
      </w:r>
      <w:r>
        <w:t xml:space="preserve"> </w:t>
      </w:r>
      <w:r>
        <w:t xml:space="preserve">da lista de lugares onde a ressalva</w:t>
      </w:r>
      <w:r>
        <w:t xml:space="preserve"> </w:t>
      </w:r>
      <w:r>
        <w:t xml:space="preserve">‘</w:t>
      </w:r>
      <w:r>
        <w:t xml:space="preserve">frequência, não efeito causal</w:t>
      </w:r>
      <w:r>
        <w:t xml:space="preserve">’</w:t>
      </w:r>
      <w:r>
        <w:t xml:space="preserve"> </w:t>
      </w:r>
      <w:r>
        <w:t xml:space="preserve">aparece; no manuscrito ela está no resumo, na introdução e nas limitações, não há frase explícita nos métodos. 2) Q4 (resumo de congresso):</w:t>
      </w:r>
      <w:r>
        <w:t xml:space="preserve"> </w:t>
      </w:r>
      <w:r>
        <w:t xml:space="preserve">‘</w:t>
      </w:r>
      <w:r>
        <w:t xml:space="preserve">o critério foi definido antes</w:t>
      </w:r>
      <w:r>
        <w:t xml:space="preserve">’</w:t>
      </w:r>
      <w:r>
        <w:t xml:space="preserve"> </w:t>
      </w:r>
      <w:r>
        <w:t xml:space="preserve">era vulnerável, pois a admissão de resumos está listada em</w:t>
      </w:r>
      <w:r>
        <w:t xml:space="preserve"> </w:t>
      </w:r>
      <w:r>
        <w:t xml:space="preserve">‘</w:t>
      </w:r>
      <w:r>
        <w:t xml:space="preserve">Decisões posteriores ao registro</w:t>
      </w:r>
      <w:r>
        <w:t xml:space="preserve">’</w:t>
      </w:r>
      <w:r>
        <w:t xml:space="preserve">; reescrito como critério de elegibilidade declarado como decisão pós-registro, não tomada durante a análise. 3) Q5 (I²): a estratificação por país (Turquia 57%, Malásia 0%) é do desfecho ocular, não do respiratório; frase reestruturada. Removida a atribuição a Barker (2021) da ideia de que I² alto é esperado em prevalência (a discussão afirma isso sem citação; Barker é citado para Hartung-Knapp e GRADE). Acrescentada a ressalva, que está nos métodos, de que o intervalo de predição é instável com menos de dez estudos. 4) Q7 (protocolo): as faixas 34,3–42,1% e 38,9–45,5% são da exclusão sequencial (leave-one-out), não dos cenários</w:t>
      </w:r>
      <w:r>
        <w:t xml:space="preserve"> </w:t>
      </w:r>
      <w:r>
        <w:t xml:space="preserve">‘</w:t>
      </w:r>
      <w:r>
        <w:t xml:space="preserve">com e sem</w:t>
      </w:r>
      <w:r>
        <w:t xml:space="preserve">’</w:t>
      </w:r>
      <w:r>
        <w:t xml:space="preserve"> </w:t>
      </w:r>
      <w:r>
        <w:t xml:space="preserve">das decisões tomadas durante a análise; substituídas pelos números corretos (ocular 36,5% sem Bieniek 2022; respiratório 35,8% com I² de 91% para 61%). 5) Q9 (autores):</w:t>
      </w:r>
      <w:r>
        <w:t xml:space="preserve"> </w:t>
      </w:r>
      <w:r>
        <w:t xml:space="preserve">‘</w:t>
      </w:r>
      <w:r>
        <w:t xml:space="preserve">cerca de 1.400</w:t>
      </w:r>
      <w:r>
        <w:t xml:space="preserve">’</w:t>
      </w:r>
      <w:r>
        <w:t xml:space="preserve"> </w:t>
      </w:r>
      <w:r>
        <w:t xml:space="preserve">corrigido para 1.428 (756 + 672), que coincide com o n do respiratório. 6) Q10 (Malásia):</w:t>
      </w:r>
      <w:r>
        <w:t xml:space="preserve"> </w:t>
      </w:r>
      <w:r>
        <w:t xml:space="preserve">‘</w:t>
      </w:r>
      <w:r>
        <w:t xml:space="preserve">estudos turcos usaram amostras de conveniência</w:t>
      </w:r>
      <w:r>
        <w:t xml:space="preserve">’</w:t>
      </w:r>
      <w:r>
        <w:t xml:space="preserve"> </w:t>
      </w:r>
      <w:r>
        <w:t xml:space="preserve">não consta; o manuscrito diz que só Mohd Fikri Rosely e Titi Rahmawati (2019) tiveram amostragem probabilística e que İlçe (2017) fez censo de um hospital; reescrito como</w:t>
      </w:r>
      <w:r>
        <w:t xml:space="preserve"> </w:t>
      </w:r>
      <w:r>
        <w:t xml:space="preserve">‘</w:t>
      </w:r>
      <w:r>
        <w:t xml:space="preserve">amostragem não probabilística</w:t>
      </w:r>
      <w:r>
        <w:t xml:space="preserve">’</w:t>
      </w:r>
      <w:r>
        <w:t xml:space="preserve">. 7) Q11 (N95): os exemplos</w:t>
      </w:r>
      <w:r>
        <w:t xml:space="preserve"> </w:t>
      </w:r>
      <w:r>
        <w:t xml:space="preserve">‘</w:t>
      </w:r>
      <w:r>
        <w:t xml:space="preserve">exaustão, cultura de segurança, volume de eletrocirurgia</w:t>
      </w:r>
      <w:r>
        <w:t xml:space="preserve">’</w:t>
      </w:r>
      <w:r>
        <w:t xml:space="preserve"> </w:t>
      </w:r>
      <w:r>
        <w:t xml:space="preserve">não estão no texto, que fala em</w:t>
      </w:r>
      <w:r>
        <w:t xml:space="preserve"> </w:t>
      </w:r>
      <w:r>
        <w:t xml:space="preserve">‘</w:t>
      </w:r>
      <w:r>
        <w:t xml:space="preserve">outras características do serviço e da prática profissional</w:t>
      </w:r>
      <w:r>
        <w:t xml:space="preserve">’</w:t>
      </w:r>
      <w:r>
        <w:t xml:space="preserve">; reescrito. 8) Q13 (revisor único):</w:t>
      </w:r>
      <w:r>
        <w:t xml:space="preserve"> </w:t>
      </w:r>
      <w:r>
        <w:t xml:space="preserve">‘</w:t>
      </w:r>
      <w:r>
        <w:t xml:space="preserve">trouxe 4 relatórios adicionais</w:t>
      </w:r>
      <w:r>
        <w:t xml:space="preserve">’</w:t>
      </w:r>
      <w:r>
        <w:t xml:space="preserve"> </w:t>
      </w:r>
      <w:r>
        <w:t xml:space="preserve">ajustado para</w:t>
      </w:r>
      <w:r>
        <w:t xml:space="preserve"> </w:t>
      </w:r>
      <w:r>
        <w:t xml:space="preserve">‘</w:t>
      </w:r>
      <w:r>
        <w:t xml:space="preserve">encaminhou 4 relatórios para leitura na íntegra</w:t>
      </w:r>
      <w:r>
        <w:t xml:space="preserve">’</w:t>
      </w:r>
      <w:r>
        <w:t xml:space="preserve"> </w:t>
      </w:r>
      <w:r>
        <w:t xml:space="preserve">(o texto diz que foram recuperados, não que todos foram incluídos). 9) Q14:</w:t>
      </w:r>
      <w:r>
        <w:t xml:space="preserve"> </w:t>
      </w:r>
      <w:r>
        <w:t xml:space="preserve">‘</w:t>
      </w:r>
      <w:r>
        <w:t xml:space="preserve">eu não gradue força de recomendação</w:t>
      </w:r>
      <w:r>
        <w:t xml:space="preserve">’</w:t>
      </w:r>
      <w:r>
        <w:t xml:space="preserve"> </w:t>
      </w:r>
      <w:r>
        <w:t xml:space="preserve">reformulado como afirmação sobre o trabalho (GRADE aplicado à certeza). 10) Q6: definição de</w:t>
      </w:r>
      <w:r>
        <w:t xml:space="preserve"> </w:t>
      </w:r>
      <w:r>
        <w:t xml:space="preserve">‘</w:t>
      </w:r>
      <w:r>
        <w:t xml:space="preserve">muito baixa</w:t>
      </w:r>
      <w:r>
        <w:t xml:space="preserve">’</w:t>
      </w:r>
      <w:r>
        <w:t xml:space="preserve"> </w:t>
      </w:r>
      <w:r>
        <w:t xml:space="preserve">marcada como conhecimento geral. 11) Substituída a pergunta sobre periódicos pouco indexados pela pergunta</w:t>
      </w:r>
      <w:r>
        <w:t xml:space="preserve"> </w:t>
      </w:r>
      <w:r>
        <w:t xml:space="preserve">‘</w:t>
      </w:r>
      <w:r>
        <w:t xml:space="preserve">por que o ocular é principal se o respiratório tem mais dados</w:t>
      </w:r>
      <w:r>
        <w:t xml:space="preserve">’</w:t>
      </w:r>
      <w:r>
        <w:t xml:space="preserve">, mais provável a partir da Tabela 2. Fallback caso perguntem sobre indexação:</w:t>
      </w:r>
      <w:r>
        <w:t xml:space="preserve"> </w:t>
      </w:r>
      <w:r>
        <w:t xml:space="preserve">‘</w:t>
      </w:r>
      <w:r>
        <w:t xml:space="preserve">julguei estudo a estudo pelo JBI, não pela capa; a análise restrita a periódicos MEDLINE não foi factível, pois deixaria menos de dois estudos por agrupamento, o que por si só descreve a fragilidade da base</w:t>
      </w:r>
      <w:r>
        <w:t xml:space="preserve">’</w:t>
      </w:r>
      <w:r>
        <w:t xml:space="preserve">. 12) Todas as respostas foram encurtadas para 150–175 palavras, faláveis em até 60 s. Todos os demais números conferidos e corretos: 37,6% (21,9–56,5; IP 7–83; I² 93%; k 6; n 756); 41,7% (30,4–53,9; IP 15–74; I² 91%; k 7; n 1.428); tau² 0,493; 42,1%/42,4% sem o resumo; 35,8% e I² 61%; 36,5% e I² 94%; 50,5% Turquia (268) e 19,8% Malásia (333); 16.757 → 10.910 → 28 + 4 → 32 → 6 não recuperados → 26 → 4 excluídos → 22; 443 referências; RR 5,2 (1,9–14,2), RR 13,9 (2,0–95,8), HR 1,5 (0,99–2,42), 0/196 vs 33/236; CRD420251238727; busca em 9/7/2026; Portaria CNPq 2.664 de 6/3/2026.</w:t>
      </w:r>
    </w:p>
    <w:bookmarkEnd w:id="122"/>
    <w:bookmarkStart w:id="123" w:name="perguntas-gerais-de-ic-e-de-formação"/>
    <w:p>
      <w:pPr>
        <w:pStyle w:val="Heading3"/>
      </w:pPr>
      <w:r>
        <w:t xml:space="preserve">Perguntas gerais de IC e de formação</w:t>
      </w:r>
    </w:p>
    <w:p>
      <w:pPr>
        <w:pStyle w:val="FirstParagraph"/>
      </w:pPr>
      <w:r>
        <w:t xml:space="preserve">Nenhum número estava errado: prevalências (37,6%; 41,7%; 35,8%), IC95%, intervalos de predição (7-83%; 15-74%), I² (93%, 91%, 61%), k (6 e 7), n (756; 1.428), RR (13,9 e 5,2), contagens PRISMA (16.757; 10.910; 26; 22; 6 não recuperados), datas (9/7/2026; jul-ago/2026), registros (CRD420251238727; CEP 2025/0743; Portaria CNPq 2.664/2026), versões de software, Q e tau² do Anexo G e dados do Anexo D foram todos conferidos com o manuscrito. Correções de conteúdo: (1) Q4:</w:t>
      </w:r>
      <w:r>
        <w:t xml:space="preserve"> </w:t>
      </w:r>
      <w:r>
        <w:t xml:space="preserve">‘</w:t>
      </w:r>
      <w:r>
        <w:t xml:space="preserve">os outros seis foram para síntese narrativa</w:t>
      </w:r>
      <w:r>
        <w:t xml:space="preserve">’</w:t>
      </w:r>
      <w:r>
        <w:t xml:space="preserve"> </w:t>
      </w:r>
      <w:r>
        <w:t xml:space="preserve">corrigido para</w:t>
      </w:r>
      <w:r>
        <w:t xml:space="preserve"> </w:t>
      </w:r>
      <w:r>
        <w:t xml:space="preserve">‘</w:t>
      </w:r>
      <w:r>
        <w:t xml:space="preserve">ficaram fora dos agrupamentos</w:t>
      </w:r>
      <w:r>
        <w:t xml:space="preserve">’</w:t>
      </w:r>
      <w:r>
        <w:t xml:space="preserve"> </w:t>
      </w:r>
      <w:r>
        <w:t xml:space="preserve">(o Anexo C lista quatro na narrativa e dois, Aranha 2018 e Saito 2019, apenas como não agrupados); explicitado que sintoma-índice e sensibilidades por definição foram decisões tomadas durante a análise; removido o trecho sobre Van Giersbergen (redundante com Q10) e sobre o volume da triagem (redundante com Q8). (2) Q5: a afirmação de que planejamento e ética</w:t>
      </w:r>
      <w:r>
        <w:t xml:space="preserve"> </w:t>
      </w:r>
      <w:r>
        <w:t xml:space="preserve">‘</w:t>
      </w:r>
      <w:r>
        <w:t xml:space="preserve">ficaram prontos em 2025</w:t>
      </w:r>
      <w:r>
        <w:t xml:space="preserve">’</w:t>
      </w:r>
      <w:r>
        <w:t xml:space="preserve"> </w:t>
      </w:r>
      <w:r>
        <w:t xml:space="preserve">passou a ser apresentada como inferência dos números de protocolo; removida a frase</w:t>
      </w:r>
      <w:r>
        <w:t xml:space="preserve"> </w:t>
      </w:r>
      <w:r>
        <w:t xml:space="preserve">‘</w:t>
      </w:r>
      <w:r>
        <w:t xml:space="preserve">posso afirmar com segurança que a etapa mais longa foi a triagem</w:t>
      </w:r>
      <w:r>
        <w:t xml:space="preserve">’</w:t>
      </w:r>
      <w:r>
        <w:t xml:space="preserve">, que o manuscrito não sustenta. (3) Q6: removidas atribuições não documentadas (orientadora</w:t>
      </w:r>
      <w:r>
        <w:t xml:space="preserve"> </w:t>
      </w:r>
      <w:r>
        <w:t xml:space="preserve">‘</w:t>
      </w:r>
      <w:r>
        <w:t xml:space="preserve">validou o desenho e questionou cada decisão</w:t>
      </w:r>
      <w:r>
        <w:t xml:space="preserve">’</w:t>
      </w:r>
      <w:r>
        <w:t xml:space="preserve">; coautora como fonte da ressalva sobre o ácido trans,trans-mucônico), agora marcadas como a confirmar; retirado o título</w:t>
      </w:r>
      <w:r>
        <w:t xml:space="preserve"> </w:t>
      </w:r>
      <w:r>
        <w:t xml:space="preserve">‘</w:t>
      </w:r>
      <w:r>
        <w:t xml:space="preserve">professora</w:t>
      </w:r>
      <w:r>
        <w:t xml:space="preserve">’</w:t>
      </w:r>
      <w:r>
        <w:t xml:space="preserve">, que não consta. (4) Q8: acrescentadas as outras duas funções declaradas da IA (leitura assistida de resumos e organização do fluxo de trabalho), para não subdeclarar o uso. (5) Q10 e Q11: corrigida a frase</w:t>
      </w:r>
      <w:r>
        <w:t xml:space="preserve"> </w:t>
      </w:r>
      <w:r>
        <w:t xml:space="preserve">‘</w:t>
      </w:r>
      <w:r>
        <w:t xml:space="preserve">não contatei os autores</w:t>
      </w:r>
      <w:r>
        <w:t xml:space="preserve">’</w:t>
      </w:r>
      <w:r>
        <w:t xml:space="preserve">: o manuscrito diz que não houve contato para dados adicionais, mas o Anexo C registra contato com autores correspondentes para tentar obter os seis textos não recuperados; Q11 marcada como plano, pois o manuscrito não descreve próximos passos além da agenda de pesquisa. (6) Q14: removida a afirmação de</w:t>
      </w:r>
      <w:r>
        <w:t xml:space="preserve"> </w:t>
      </w:r>
      <w:r>
        <w:t xml:space="preserve">‘</w:t>
      </w:r>
      <w:r>
        <w:t xml:space="preserve">primeira síntese</w:t>
      </w:r>
      <w:r>
        <w:t xml:space="preserve">’</w:t>
      </w:r>
      <w:r>
        <w:t xml:space="preserve">, que o manuscrito não faz (diz apenas</w:t>
      </w:r>
      <w:r>
        <w:t xml:space="preserve"> </w:t>
      </w:r>
      <w:r>
        <w:t xml:space="preserve">‘</w:t>
      </w:r>
      <w:r>
        <w:t xml:space="preserve">majoritariamente descritiva</w:t>
      </w:r>
      <w:r>
        <w:t xml:space="preserve">’</w:t>
      </w:r>
      <w:r>
        <w:t xml:space="preserve">). (7) Redundâncias removidas:</w:t>
      </w:r>
      <w:r>
        <w:t xml:space="preserve"> </w:t>
      </w:r>
      <w:r>
        <w:t xml:space="preserve">‘</w:t>
      </w:r>
      <w:r>
        <w:t xml:space="preserve">sem bolsa e sem financiamento</w:t>
      </w:r>
      <w:r>
        <w:t xml:space="preserve">’</w:t>
      </w:r>
      <w:r>
        <w:t xml:space="preserve"> </w:t>
      </w:r>
      <w:r>
        <w:t xml:space="preserve">em Q2 (já em Q6 e Q14) e a frase sobre PROSPERO em Q9 (já em Q7). (8) Todas as respostas foram encurtadas para caber em cerca de 60 segundos. Nenhuma pergunta foi substituída: as 14 são plausíveis para uma banca de IC e as respostas corrigidas se sustentam no manuscrito.</w: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estudo e defesa — VIII SEMICA</dc:title>
  <dc:creator/>
  <dc:language>pt-BR</dc:language>
  <cp:keywords/>
  <dcterms:created xsi:type="dcterms:W3CDTF">2026-10-14T03:45:01Z</dcterms:created>
  <dcterms:modified xsi:type="dcterms:W3CDTF">2026-10-14T03:45:01Z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Sumário</vt:lpwstr>
  </property>
</Properties>
</file>