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Direitos de Autor e Pedidos de Retirada</w:t>
      </w:r>
    </w:p>
    <w:p>
      <w:pPr>
        <w:jc w:val="center"/>
      </w:pPr>
      <w:r>
        <w:rPr>
          <w:i/>
        </w:rPr>
        <w:t>Xclusive (xclusive.ao) — Procedimento de notificação</w:t>
        <w:br/>
        <w:t>22 de outubro de 2026 • Versão 1.1</w:t>
      </w:r>
    </w:p>
    <w:p/>
    <w:p>
      <w:pPr>
        <w:pStyle w:val="Heading2"/>
      </w:pPr>
      <w:r>
        <w:t>Artigo 1.º — Respeito pelos direitos de autor</w:t>
      </w:r>
    </w:p>
    <w:p>
      <w:r>
        <w:t>A Xclusive respeita direitos de autor e conexos.</w:t>
      </w:r>
    </w:p>
    <w:p>
      <w:r>
        <w:t>O criador responde pela titularidade ou autorização necessária para publicar o conteúdo.</w:t>
      </w:r>
    </w:p>
    <w:p>
      <w:pPr>
        <w:pStyle w:val="Heading2"/>
      </w:pPr>
      <w:r>
        <w:t>Artigo 2.º — Quem pode apresentar pedido</w:t>
      </w:r>
    </w:p>
    <w:p>
      <w:r>
        <w:t>O titular dos direitos ou mandatário devidamente autorizado.</w:t>
      </w:r>
    </w:p>
    <w:p>
      <w:pPr>
        <w:pStyle w:val="Heading2"/>
      </w:pPr>
      <w:r>
        <w:t>Artigo 3.º — Conteúdo do pedido</w:t>
      </w:r>
    </w:p>
    <w:p>
      <w:r>
        <w:t>Identificação do requerente e mandatário.</w:t>
      </w:r>
    </w:p>
    <w:p>
      <w:r>
        <w:t>Identificação da obra e ligação do conteúdo infrator.</w:t>
      </w:r>
    </w:p>
    <w:p>
      <w:r>
        <w:t>Descrição do direito violado e fundamentação.</w:t>
      </w:r>
    </w:p>
    <w:p>
      <w:r>
        <w:t>Declaração de boa-fé e de exatidão das informações.</w:t>
      </w:r>
    </w:p>
    <w:p>
      <w:r>
        <w:t>Assinatura e contactos.</w:t>
      </w:r>
    </w:p>
    <w:p>
      <w:pPr>
        <w:pStyle w:val="Heading2"/>
      </w:pPr>
      <w:r>
        <w:t>Artigo 4.º — Envio e prazo</w:t>
      </w:r>
    </w:p>
    <w:p>
      <w:r>
        <w:t>Enviar para [legal@xclusive.ao] com assunto “Pedido de retirada — Direitos de Autor”.</w:t>
      </w:r>
    </w:p>
    <w:p>
      <w:r>
        <w:t>Acusação de receção e decisão, em regra, em até sete dias úteis, prorrogável em casos complexos.</w:t>
      </w:r>
    </w:p>
    <w:p>
      <w:r>
        <w:t>Conteúdo aparentemente infrator pode ser removido ou desativado provisoriamente.</w:t>
      </w:r>
    </w:p>
    <w:p>
      <w:pPr>
        <w:pStyle w:val="Heading2"/>
      </w:pPr>
      <w:r>
        <w:t>Artigo 5.º — Contranotificação e reincidência</w:t>
      </w:r>
    </w:p>
    <w:p>
      <w:r>
        <w:t>O criador pode apresentar contranotificação fundamentada.</w:t>
      </w:r>
    </w:p>
    <w:p>
      <w:r>
        <w:t>Pode haver reposição, salvo ordem judicial, acordo ou necessidade probatória.</w:t>
      </w:r>
    </w:p>
    <w:p>
      <w:r>
        <w:t>Reincidência pode determinar suspensão ou encerramento.</w:t>
      </w:r>
    </w:p>
    <w:p>
      <w:pPr>
        <w:pStyle w:val="Heading2"/>
      </w:pPr>
      <w:r>
        <w:t>Artigo 6.º — Falsas notificações</w:t>
      </w:r>
    </w:p>
    <w:p>
      <w:r>
        <w:t>Notificações falsas ou de má-fé podem gerar responsabilidade civil e criminal.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