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A1264B" w14:textId="235F5F50" w:rsidR="002E243B" w:rsidRDefault="00466F87" w:rsidP="00466F87">
      <w:pPr>
        <w:pStyle w:val="Heading1"/>
        <w:rPr>
          <w:lang w:val="en-US"/>
        </w:rPr>
      </w:pPr>
      <w:r w:rsidRPr="00466F87">
        <w:rPr>
          <w:lang w:val="en-US"/>
        </w:rPr>
        <w:t xml:space="preserve">Configuring </w:t>
      </w:r>
      <w:r>
        <w:rPr>
          <w:lang w:val="en-US"/>
        </w:rPr>
        <w:t>c</w:t>
      </w:r>
      <w:r w:rsidRPr="00466F87">
        <w:rPr>
          <w:lang w:val="en-US"/>
        </w:rPr>
        <w:t xml:space="preserve">ustom </w:t>
      </w:r>
      <w:r>
        <w:rPr>
          <w:lang w:val="en-US"/>
        </w:rPr>
        <w:t>machine learning provider</w:t>
      </w:r>
      <w:r w:rsidRPr="00466F87">
        <w:rPr>
          <w:lang w:val="en-US"/>
        </w:rPr>
        <w:t xml:space="preserve"> </w:t>
      </w:r>
      <w:r>
        <w:rPr>
          <w:lang w:val="en-US"/>
        </w:rPr>
        <w:t>s</w:t>
      </w:r>
      <w:r w:rsidRPr="00466F87">
        <w:rPr>
          <w:lang w:val="en-US"/>
        </w:rPr>
        <w:t xml:space="preserve">coring </w:t>
      </w:r>
      <w:r>
        <w:rPr>
          <w:lang w:val="en-US"/>
        </w:rPr>
        <w:t>e</w:t>
      </w:r>
      <w:r w:rsidRPr="00466F87">
        <w:rPr>
          <w:lang w:val="en-US"/>
        </w:rPr>
        <w:t>ndpoint with IBM Watson OpenScale</w:t>
      </w:r>
    </w:p>
    <w:p w14:paraId="25DCF4EA" w14:textId="28AC8003" w:rsidR="00466F87" w:rsidRDefault="00466F87" w:rsidP="00466F87">
      <w:pPr>
        <w:rPr>
          <w:lang w:val="en-US"/>
        </w:rPr>
      </w:pPr>
    </w:p>
    <w:p w14:paraId="162DF4CE" w14:textId="77777777" w:rsidR="00466F87" w:rsidRDefault="00466F87" w:rsidP="00466F87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There are two ways to configure Custom Machine Learning provider with Watson OpenScale:</w:t>
      </w:r>
    </w:p>
    <w:p w14:paraId="0E4DCA3F" w14:textId="77777777" w:rsidR="00466F87" w:rsidRDefault="00466F87" w:rsidP="00466F87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2626EEBB" w14:textId="77777777" w:rsidR="00466F87" w:rsidRDefault="00466F87" w:rsidP="00466F87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 w:rsidRPr="00466F87">
        <w:rPr>
          <w:rFonts w:ascii="AppleSystemUIFont" w:hAnsi="AppleSystemUIFont" w:cs="AppleSystemUIFont"/>
          <w:lang w:val="en-GB"/>
        </w:rPr>
        <w:t xml:space="preserve">To provide a discovery </w:t>
      </w:r>
      <w:proofErr w:type="spellStart"/>
      <w:r w:rsidRPr="00466F87">
        <w:rPr>
          <w:rFonts w:ascii="AppleSystemUIFont" w:hAnsi="AppleSystemUIFont" w:cs="AppleSystemUIFont"/>
          <w:lang w:val="en-GB"/>
        </w:rPr>
        <w:t>url</w:t>
      </w:r>
      <w:proofErr w:type="spellEnd"/>
      <w:r w:rsidRPr="00466F87">
        <w:rPr>
          <w:rFonts w:ascii="AppleSystemUIFont" w:hAnsi="AppleSystemUIFont" w:cs="AppleSystemUIFont"/>
          <w:lang w:val="en-GB"/>
        </w:rPr>
        <w:t xml:space="preserve">, using which one can list down the available endpoints and the select the endpoint to configure it with </w:t>
      </w:r>
      <w:proofErr w:type="spellStart"/>
      <w:r w:rsidRPr="00466F87">
        <w:rPr>
          <w:rFonts w:ascii="AppleSystemUIFont" w:hAnsi="AppleSystemUIFont" w:cs="AppleSystemUIFont"/>
          <w:lang w:val="en-GB"/>
        </w:rPr>
        <w:t>OpenScale.</w:t>
      </w:r>
      <w:proofErr w:type="spellEnd"/>
    </w:p>
    <w:p w14:paraId="4032B29F" w14:textId="3EA14BCF" w:rsidR="00466F87" w:rsidRDefault="00466F87" w:rsidP="00466F87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 w:rsidRPr="00466F87">
        <w:rPr>
          <w:rFonts w:ascii="AppleSystemUIFont" w:hAnsi="AppleSystemUIFont" w:cs="AppleSystemUIFont"/>
          <w:lang w:val="en-GB"/>
        </w:rPr>
        <w:t>To configure the individual scoring endpoint.</w:t>
      </w:r>
    </w:p>
    <w:p w14:paraId="4CE60FCD" w14:textId="607F79E0" w:rsidR="00466F87" w:rsidRDefault="00466F87" w:rsidP="00466F87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157362D7" w14:textId="6AA45689" w:rsidR="00466F87" w:rsidRDefault="00466F87" w:rsidP="00466F87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This document focuses on the point b.</w:t>
      </w:r>
    </w:p>
    <w:p w14:paraId="3D98BFFA" w14:textId="2809BD7A" w:rsidR="00466F87" w:rsidRDefault="00466F87" w:rsidP="00466F87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18B6BB21" w14:textId="23DC9D30" w:rsidR="00466F87" w:rsidRPr="00466F87" w:rsidRDefault="00466F87" w:rsidP="00466F87">
      <w:pPr>
        <w:pStyle w:val="Heading2"/>
        <w:rPr>
          <w:lang w:val="en-GB"/>
        </w:rPr>
      </w:pPr>
      <w:r>
        <w:rPr>
          <w:lang w:val="en-GB"/>
        </w:rPr>
        <w:t>Steps to configure Custom machine learning provider scoring endpoint</w:t>
      </w:r>
    </w:p>
    <w:p w14:paraId="7CB7C61B" w14:textId="6186F195" w:rsidR="00466F87" w:rsidRDefault="00466F87" w:rsidP="00466F87">
      <w:pPr>
        <w:rPr>
          <w:lang w:val="en-US"/>
        </w:rPr>
      </w:pPr>
    </w:p>
    <w:p w14:paraId="1340A381" w14:textId="02886C45" w:rsidR="00466F87" w:rsidRPr="00466F87" w:rsidRDefault="00466F87" w:rsidP="00466F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Open IBM Watson OpenScale console</w:t>
      </w:r>
    </w:p>
    <w:p w14:paraId="307FC86F" w14:textId="3AC8EAC0" w:rsidR="00466F87" w:rsidRDefault="00466F87" w:rsidP="00466F87">
      <w:pPr>
        <w:numPr>
          <w:ilvl w:val="0"/>
          <w:numId w:val="3"/>
        </w:num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C</w:t>
      </w:r>
      <w:r>
        <w:rPr>
          <w:rFonts w:ascii="AppleSystemUIFont" w:hAnsi="AppleSystemUIFont" w:cs="AppleSystemUIFont"/>
          <w:lang w:val="en-GB"/>
        </w:rPr>
        <w:t xml:space="preserve">lick on the “Add machine learning” provider </w:t>
      </w:r>
      <w:r>
        <w:rPr>
          <w:rFonts w:ascii="AppleSystemUIFont" w:hAnsi="AppleSystemUIFont" w:cs="AppleSystemUIFont"/>
          <w:lang w:val="en-GB"/>
        </w:rPr>
        <w:t>link and</w:t>
      </w:r>
      <w:r>
        <w:rPr>
          <w:rFonts w:ascii="AppleSystemUIFont" w:hAnsi="AppleSystemUIFont" w:cs="AppleSystemUIFont"/>
          <w:lang w:val="en-GB"/>
        </w:rPr>
        <w:t xml:space="preserve"> provide a suitable name to the ML provider. And then click on the Edit icon under “Connection”.</w:t>
      </w:r>
    </w:p>
    <w:p w14:paraId="4E3FF1D7" w14:textId="22111028" w:rsidR="00466F87" w:rsidRDefault="00466F87" w:rsidP="00466F87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 w:rsidRPr="00466F87">
        <w:rPr>
          <w:rFonts w:ascii="AppleSystemUIFont" w:hAnsi="AppleSystemUIFont" w:cs="AppleSystemUIFont"/>
          <w:lang w:val="en-GB"/>
        </w:rPr>
        <w:drawing>
          <wp:inline distT="0" distB="0" distL="0" distR="0" wp14:anchorId="03A59A70" wp14:editId="13D499A1">
            <wp:extent cx="5727700" cy="17221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FC1B" w14:textId="443862AC" w:rsidR="00466F87" w:rsidRDefault="00466F87" w:rsidP="00466F87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422E383A" w14:textId="4FB8AB5C" w:rsidR="00466F87" w:rsidRDefault="00466F87" w:rsidP="00466F87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Under the Service provider type select “Custom Environment” and provide Username and Password to your Custom Environment.</w:t>
      </w:r>
    </w:p>
    <w:p w14:paraId="14FFFCF0" w14:textId="580857B7" w:rsidR="00466F87" w:rsidRDefault="00466F87" w:rsidP="00466F87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042B566A" w14:textId="1304479E" w:rsidR="00466F87" w:rsidRPr="00466F87" w:rsidRDefault="00466F87" w:rsidP="00466F8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AppleSystemUIFont" w:hAnsi="AppleSystemUIFont" w:cs="AppleSystemUIFont"/>
          <w:lang w:val="en-GB"/>
        </w:rPr>
        <w:t>Note: Make sure to de-select the “</w:t>
      </w:r>
      <w:r w:rsidRPr="00466F87">
        <w:rPr>
          <w:rFonts w:ascii="IBM Plex Sans" w:eastAsia="Times New Roman" w:hAnsi="IBM Plex Sans" w:cs="Times New Roman"/>
          <w:color w:val="161616"/>
          <w:spacing w:val="2"/>
          <w:sz w:val="21"/>
          <w:szCs w:val="21"/>
          <w:shd w:val="clear" w:color="auto" w:fill="F4F4F4"/>
          <w:lang w:eastAsia="en-GB"/>
        </w:rPr>
        <w:t>Use an API to get a list of models</w:t>
      </w:r>
      <w:r>
        <w:rPr>
          <w:rFonts w:ascii="Times New Roman" w:eastAsia="Times New Roman" w:hAnsi="Times New Roman" w:cs="Times New Roman"/>
          <w:lang w:eastAsia="en-GB"/>
        </w:rPr>
        <w:t>”.</w:t>
      </w:r>
    </w:p>
    <w:p w14:paraId="612EB5FB" w14:textId="77777777" w:rsidR="00466F87" w:rsidRPr="00466F87" w:rsidRDefault="00466F87" w:rsidP="00466F87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5A5C7F69" w14:textId="00671A77" w:rsidR="00466F87" w:rsidRDefault="00466F87" w:rsidP="00466F87">
      <w:pPr>
        <w:rPr>
          <w:lang w:val="en-US"/>
        </w:rPr>
      </w:pPr>
      <w:r w:rsidRPr="00466F87">
        <w:rPr>
          <w:lang w:val="en-US"/>
        </w:rPr>
        <w:drawing>
          <wp:inline distT="0" distB="0" distL="0" distR="0" wp14:anchorId="696FCF63" wp14:editId="5F512AC8">
            <wp:extent cx="5727700" cy="244284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2CA0" w14:textId="1A38C25C" w:rsidR="00466F87" w:rsidRDefault="00466F87" w:rsidP="00466F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Based on the model that you are using for validation, whether it is for “Pre-production” usage or “Production” usage, select the option accordingly. For the purpose of this document, we are selecting “Production” type. And then Click on “Save”</w:t>
      </w:r>
    </w:p>
    <w:p w14:paraId="225EA105" w14:textId="77777777" w:rsidR="00DF675E" w:rsidRDefault="00DF675E" w:rsidP="00DF675E">
      <w:pPr>
        <w:pStyle w:val="ListParagraph"/>
        <w:rPr>
          <w:lang w:val="en-US"/>
        </w:rPr>
      </w:pPr>
    </w:p>
    <w:p w14:paraId="1D235DA2" w14:textId="6B25C0B4" w:rsidR="00466F87" w:rsidRDefault="00466F87" w:rsidP="00466F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Doing so, this would save the Custom environment with OpenScale.</w:t>
      </w:r>
    </w:p>
    <w:p w14:paraId="755F7C05" w14:textId="77777777" w:rsidR="00DF675E" w:rsidRDefault="00DF675E" w:rsidP="00DF675E">
      <w:pPr>
        <w:pStyle w:val="ListParagraph"/>
        <w:rPr>
          <w:lang w:val="en-US"/>
        </w:rPr>
      </w:pPr>
    </w:p>
    <w:p w14:paraId="0AAF3202" w14:textId="6AF6A3ED" w:rsidR="00466F87" w:rsidRDefault="00466F87" w:rsidP="00466F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on the “Insights dashboard” icon on the left nav bar, which would open up the Insights dashboard.</w:t>
      </w:r>
    </w:p>
    <w:p w14:paraId="12FBB35C" w14:textId="0A567272" w:rsidR="00466F87" w:rsidRDefault="00466F87" w:rsidP="00466F87">
      <w:pPr>
        <w:pStyle w:val="ListParagraph"/>
        <w:rPr>
          <w:lang w:val="en-US"/>
        </w:rPr>
      </w:pPr>
      <w:r w:rsidRPr="00466F87">
        <w:rPr>
          <w:lang w:val="en-US"/>
        </w:rPr>
        <w:drawing>
          <wp:inline distT="0" distB="0" distL="0" distR="0" wp14:anchorId="6535BB9E" wp14:editId="1E64567B">
            <wp:extent cx="5727700" cy="2450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46CF" w14:textId="77777777" w:rsidR="00DF675E" w:rsidRDefault="00DF675E" w:rsidP="00DF675E">
      <w:pPr>
        <w:pStyle w:val="ListParagraph"/>
        <w:rPr>
          <w:lang w:val="en-US"/>
        </w:rPr>
      </w:pPr>
    </w:p>
    <w:p w14:paraId="31713703" w14:textId="53670734" w:rsidR="00466F87" w:rsidRDefault="00466F87" w:rsidP="00466F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Click on the “Add to dashboard” </w:t>
      </w:r>
      <w:proofErr w:type="gramStart"/>
      <w:r>
        <w:rPr>
          <w:lang w:val="en-US"/>
        </w:rPr>
        <w:t>link</w:t>
      </w:r>
      <w:proofErr w:type="gramEnd"/>
      <w:r>
        <w:rPr>
          <w:lang w:val="en-US"/>
        </w:rPr>
        <w:t xml:space="preserve"> which is on the right side of the page, which would pop up a window listing down the ML providers.</w:t>
      </w:r>
    </w:p>
    <w:p w14:paraId="5318419D" w14:textId="78A04743" w:rsidR="00466F87" w:rsidRDefault="00466F87" w:rsidP="00466F87">
      <w:pPr>
        <w:pStyle w:val="ListParagraph"/>
        <w:rPr>
          <w:lang w:val="en-US"/>
        </w:rPr>
      </w:pPr>
      <w:r w:rsidRPr="00466F87">
        <w:rPr>
          <w:lang w:val="en-US"/>
        </w:rPr>
        <w:drawing>
          <wp:inline distT="0" distB="0" distL="0" distR="0" wp14:anchorId="37DACBF4" wp14:editId="77A83326">
            <wp:extent cx="5727700" cy="2567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5679" w14:textId="37961A8B" w:rsidR="00466F87" w:rsidRDefault="00466F87" w:rsidP="00466F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Click on “Add Endpoint”, which is where we would be adding the Custom Engine </w:t>
      </w:r>
      <w:r w:rsidR="00DF675E">
        <w:rPr>
          <w:lang w:val="en-US"/>
        </w:rPr>
        <w:t>scoring endpoint.</w:t>
      </w:r>
    </w:p>
    <w:p w14:paraId="14852848" w14:textId="77777777" w:rsidR="00DF675E" w:rsidRDefault="00DF675E" w:rsidP="00DF675E">
      <w:pPr>
        <w:pStyle w:val="ListParagraph"/>
        <w:rPr>
          <w:lang w:val="en-US"/>
        </w:rPr>
      </w:pPr>
    </w:p>
    <w:p w14:paraId="58C79FBD" w14:textId="18A8D7FE" w:rsidR="00DF675E" w:rsidRDefault="00DF675E" w:rsidP="00466F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the successive page, select the Custom ML Engine provider that we specified in step 2. Followed by specifying the Deployment Name and Scoring Endpoint link. Then click on “Save”</w:t>
      </w:r>
    </w:p>
    <w:p w14:paraId="0B1FB804" w14:textId="1BABDEB8" w:rsidR="00DF675E" w:rsidRDefault="00DF675E" w:rsidP="00DF675E">
      <w:pPr>
        <w:pStyle w:val="ListParagraph"/>
        <w:rPr>
          <w:lang w:val="en-US"/>
        </w:rPr>
      </w:pPr>
      <w:r w:rsidRPr="00DF675E">
        <w:rPr>
          <w:lang w:val="en-US"/>
        </w:rPr>
        <w:lastRenderedPageBreak/>
        <w:drawing>
          <wp:inline distT="0" distB="0" distL="0" distR="0" wp14:anchorId="292618D0" wp14:editId="60691655">
            <wp:extent cx="5727700" cy="3110865"/>
            <wp:effectExtent l="0" t="0" r="0" b="63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F1AA" w14:textId="77777777" w:rsidR="00DF675E" w:rsidRDefault="00DF675E" w:rsidP="00DF675E">
      <w:pPr>
        <w:pStyle w:val="ListParagraph"/>
        <w:rPr>
          <w:lang w:val="en-US"/>
        </w:rPr>
      </w:pPr>
    </w:p>
    <w:p w14:paraId="2B8BEE6B" w14:textId="468299B7" w:rsidR="00DF675E" w:rsidRDefault="00DF675E" w:rsidP="00466F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You would get a confirmation dialog like below, where you can click on “Configure monitors”</w:t>
      </w:r>
    </w:p>
    <w:p w14:paraId="70E9A6BC" w14:textId="1D617195" w:rsidR="00DF675E" w:rsidRDefault="00DF675E" w:rsidP="00DF675E">
      <w:pPr>
        <w:pStyle w:val="ListParagraph"/>
        <w:rPr>
          <w:lang w:val="en-US"/>
        </w:rPr>
      </w:pPr>
      <w:r w:rsidRPr="00DF675E">
        <w:rPr>
          <w:lang w:val="en-US"/>
        </w:rPr>
        <w:drawing>
          <wp:inline distT="0" distB="0" distL="0" distR="0" wp14:anchorId="4CE7FAF0" wp14:editId="297B7DB9">
            <wp:extent cx="5727700" cy="1163955"/>
            <wp:effectExtent l="0" t="0" r="0" b="444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3187" w14:textId="1FA6B856" w:rsidR="00DF675E" w:rsidRDefault="00DF675E" w:rsidP="00DF675E">
      <w:pPr>
        <w:rPr>
          <w:lang w:val="en-US"/>
        </w:rPr>
      </w:pPr>
    </w:p>
    <w:p w14:paraId="59FA8040" w14:textId="2785BD9F" w:rsidR="00DF675E" w:rsidRDefault="00DF675E" w:rsidP="00DF675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From here on, based on the model type that is being used, configure the model accordingly. For demonstration purpose, the model that is being used for this document is a binary classification against structured numerical/categorical data.</w:t>
      </w:r>
    </w:p>
    <w:p w14:paraId="50C837BB" w14:textId="2DB20890" w:rsidR="00DF675E" w:rsidRDefault="00DF675E" w:rsidP="00DF675E">
      <w:pPr>
        <w:pStyle w:val="ListParagraph"/>
        <w:rPr>
          <w:lang w:val="en-US"/>
        </w:rPr>
      </w:pPr>
      <w:r w:rsidRPr="00DF675E">
        <w:rPr>
          <w:lang w:val="en-US"/>
        </w:rPr>
        <w:drawing>
          <wp:inline distT="0" distB="0" distL="0" distR="0" wp14:anchorId="13D29F58" wp14:editId="7A65C7E1">
            <wp:extent cx="5727700" cy="2065655"/>
            <wp:effectExtent l="0" t="0" r="0" b="444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3FAD" w14:textId="77777777" w:rsidR="00DF675E" w:rsidRDefault="00DF675E" w:rsidP="00DF675E">
      <w:pPr>
        <w:pStyle w:val="ListParagraph"/>
        <w:rPr>
          <w:lang w:val="en-US"/>
        </w:rPr>
      </w:pPr>
    </w:p>
    <w:p w14:paraId="38797B8E" w14:textId="205318FC" w:rsidR="00DF675E" w:rsidRDefault="00DF675E" w:rsidP="00DF675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Specify the training data that is used to train the model</w:t>
      </w:r>
    </w:p>
    <w:p w14:paraId="2EF24773" w14:textId="49A03BA0" w:rsidR="00DF675E" w:rsidRDefault="00DF675E" w:rsidP="00DF675E">
      <w:pPr>
        <w:pStyle w:val="ListParagraph"/>
        <w:rPr>
          <w:lang w:val="en-US"/>
        </w:rPr>
      </w:pPr>
      <w:r w:rsidRPr="00DF675E">
        <w:rPr>
          <w:lang w:val="en-US"/>
        </w:rPr>
        <w:lastRenderedPageBreak/>
        <w:drawing>
          <wp:inline distT="0" distB="0" distL="0" distR="0" wp14:anchorId="7E1E51F3" wp14:editId="38810B6E">
            <wp:extent cx="5727700" cy="2370455"/>
            <wp:effectExtent l="0" t="0" r="0" b="4445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399A" w14:textId="363D643F" w:rsidR="00DF675E" w:rsidRDefault="00DF675E" w:rsidP="00DF675E">
      <w:pPr>
        <w:rPr>
          <w:lang w:val="en-US"/>
        </w:rPr>
      </w:pPr>
    </w:p>
    <w:p w14:paraId="6C3B86E5" w14:textId="44562088" w:rsidR="00DF675E" w:rsidRDefault="00DF675E" w:rsidP="00DF675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the scoring method to establish the input/output schema for the model</w:t>
      </w:r>
    </w:p>
    <w:p w14:paraId="372AD5C7" w14:textId="77BEA77F" w:rsidR="00DF675E" w:rsidRDefault="00DF675E" w:rsidP="00DF675E">
      <w:pPr>
        <w:pStyle w:val="ListParagraph"/>
        <w:rPr>
          <w:lang w:val="en-US"/>
        </w:rPr>
      </w:pPr>
      <w:r w:rsidRPr="00DF675E">
        <w:rPr>
          <w:lang w:val="en-US"/>
        </w:rPr>
        <w:drawing>
          <wp:inline distT="0" distB="0" distL="0" distR="0" wp14:anchorId="66C4292D" wp14:editId="1F862177">
            <wp:extent cx="5727700" cy="28194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A819" w14:textId="40FDA4A5" w:rsidR="00DF675E" w:rsidRDefault="00DF675E" w:rsidP="00DF675E">
      <w:pPr>
        <w:pStyle w:val="ListParagraph"/>
        <w:rPr>
          <w:lang w:val="en-US"/>
        </w:rPr>
      </w:pPr>
    </w:p>
    <w:p w14:paraId="3B9E5600" w14:textId="3DA8399A" w:rsidR="00DF675E" w:rsidRDefault="00574B57" w:rsidP="00DF675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the successive screens, select the label column, features that are used to train the model, prediction and probability columns.</w:t>
      </w:r>
    </w:p>
    <w:p w14:paraId="79B6A1BB" w14:textId="77777777" w:rsidR="00574B57" w:rsidRDefault="00574B57" w:rsidP="00574B57">
      <w:pPr>
        <w:pStyle w:val="ListParagraph"/>
        <w:rPr>
          <w:lang w:val="en-US"/>
        </w:rPr>
      </w:pPr>
    </w:p>
    <w:p w14:paraId="3051654E" w14:textId="27EFF7F6" w:rsidR="00574B57" w:rsidRDefault="00574B57" w:rsidP="00DF675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Configure Drift monitor</w:t>
      </w:r>
    </w:p>
    <w:p w14:paraId="2896E982" w14:textId="77777777" w:rsidR="00574B57" w:rsidRPr="00574B57" w:rsidRDefault="00574B57" w:rsidP="00574B57">
      <w:pPr>
        <w:pStyle w:val="ListParagraph"/>
        <w:rPr>
          <w:lang w:val="en-US"/>
        </w:rPr>
      </w:pPr>
    </w:p>
    <w:p w14:paraId="3C0861A6" w14:textId="599D5400" w:rsidR="00574B57" w:rsidRDefault="00574B57" w:rsidP="00574B5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Using the </w:t>
      </w:r>
      <w:hyperlink r:id="rId14" w:history="1">
        <w:r w:rsidRPr="00704CE7">
          <w:rPr>
            <w:rStyle w:val="Hyperlink"/>
            <w:lang w:val="en-US"/>
          </w:rPr>
          <w:t>https://github.com/IBM-Watson/aios-data-distribution/blob/master/training_statistics_notebook.ipynb</w:t>
        </w:r>
      </w:hyperlink>
      <w:r>
        <w:rPr>
          <w:lang w:val="en-US"/>
        </w:rPr>
        <w:t xml:space="preserve"> to generate the drift detection model.</w:t>
      </w:r>
    </w:p>
    <w:p w14:paraId="03AC74EC" w14:textId="289D0FFC" w:rsidR="00574B57" w:rsidRDefault="00574B57" w:rsidP="00574B5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Upload the model and then specify the drift threshold and also the min records that are to be used for detection.</w:t>
      </w:r>
    </w:p>
    <w:p w14:paraId="2C7B07FF" w14:textId="2FBB6B24" w:rsidR="00574B57" w:rsidRDefault="00574B57" w:rsidP="00574B57">
      <w:pPr>
        <w:rPr>
          <w:lang w:val="en-US"/>
        </w:rPr>
      </w:pPr>
    </w:p>
    <w:p w14:paraId="440A1154" w14:textId="3E4A1EF4" w:rsidR="00574B57" w:rsidRDefault="00574B57" w:rsidP="00574B5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Configure other monitors like Quality and Fairness as needed.</w:t>
      </w:r>
    </w:p>
    <w:p w14:paraId="18CEAFED" w14:textId="72FE9920" w:rsidR="00574B57" w:rsidRDefault="00574B57" w:rsidP="00574B57">
      <w:pPr>
        <w:rPr>
          <w:lang w:val="en-US"/>
        </w:rPr>
      </w:pPr>
    </w:p>
    <w:p w14:paraId="2C455391" w14:textId="131BE9F9" w:rsidR="00574B57" w:rsidRDefault="00574B57" w:rsidP="00574B5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Perform the continuous scoring for the model and thereby add the records to the payload logging table using the </w:t>
      </w:r>
      <w:proofErr w:type="spellStart"/>
      <w:r>
        <w:rPr>
          <w:lang w:val="en-US"/>
        </w:rPr>
        <w:t>scoring_paylaod</w:t>
      </w:r>
      <w:proofErr w:type="spellEnd"/>
      <w:r>
        <w:rPr>
          <w:lang w:val="en-US"/>
        </w:rPr>
        <w:t xml:space="preserve"> API. You can as well use the Python </w:t>
      </w:r>
      <w:r>
        <w:rPr>
          <w:lang w:val="en-US"/>
        </w:rPr>
        <w:lastRenderedPageBreak/>
        <w:t>SDK to add the scoring payloads using the API `</w:t>
      </w:r>
      <w:proofErr w:type="spellStart"/>
      <w:proofErr w:type="gramStart"/>
      <w:r w:rsidRPr="00574B57">
        <w:rPr>
          <w:lang w:val="en-US"/>
        </w:rPr>
        <w:t>subscription.payload</w:t>
      </w:r>
      <w:proofErr w:type="gramEnd"/>
      <w:r w:rsidRPr="00574B57">
        <w:rPr>
          <w:lang w:val="en-US"/>
        </w:rPr>
        <w:t>_logging.store</w:t>
      </w:r>
      <w:proofErr w:type="spellEnd"/>
      <w:r w:rsidRPr="00574B57">
        <w:rPr>
          <w:lang w:val="en-US"/>
        </w:rPr>
        <w:t>(records=records)</w:t>
      </w:r>
      <w:r>
        <w:rPr>
          <w:lang w:val="en-US"/>
        </w:rPr>
        <w:t xml:space="preserve">`. </w:t>
      </w:r>
    </w:p>
    <w:p w14:paraId="5EADC89C" w14:textId="77777777" w:rsidR="00574B57" w:rsidRPr="00574B57" w:rsidRDefault="00574B57" w:rsidP="00574B57">
      <w:pPr>
        <w:pStyle w:val="ListParagraph"/>
        <w:rPr>
          <w:lang w:val="en-US"/>
        </w:rPr>
      </w:pPr>
    </w:p>
    <w:p w14:paraId="30EBBC91" w14:textId="0C165783" w:rsidR="00574B57" w:rsidRDefault="00574B57" w:rsidP="00574B5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Run the monitors using MRM dashboard to trigger the evaluation of the configured monitors.</w:t>
      </w:r>
    </w:p>
    <w:p w14:paraId="27C70720" w14:textId="2275D318" w:rsidR="00574B57" w:rsidRPr="00574B57" w:rsidRDefault="00574B57" w:rsidP="00574B57">
      <w:pPr>
        <w:pStyle w:val="ListParagraph"/>
        <w:rPr>
          <w:lang w:val="en-US"/>
        </w:rPr>
      </w:pPr>
      <w:r w:rsidRPr="00574B57">
        <w:rPr>
          <w:lang w:val="en-US"/>
        </w:rPr>
        <w:drawing>
          <wp:inline distT="0" distB="0" distL="0" distR="0" wp14:anchorId="1D30052E" wp14:editId="255CE114">
            <wp:extent cx="5727700" cy="292544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F3F6" w14:textId="77777777" w:rsidR="00574B57" w:rsidRPr="00574B57" w:rsidRDefault="00574B57" w:rsidP="00574B57">
      <w:pPr>
        <w:pStyle w:val="ListParagraph"/>
        <w:rPr>
          <w:lang w:val="en-US"/>
        </w:rPr>
      </w:pPr>
    </w:p>
    <w:p w14:paraId="34AEEB8D" w14:textId="77777777" w:rsidR="00DF675E" w:rsidRPr="00DF675E" w:rsidRDefault="00DF675E" w:rsidP="00DF675E">
      <w:pPr>
        <w:rPr>
          <w:lang w:val="en-US"/>
        </w:rPr>
      </w:pPr>
    </w:p>
    <w:p w14:paraId="7D5D5E9B" w14:textId="77777777" w:rsidR="00DF675E" w:rsidRPr="00DF675E" w:rsidRDefault="00DF675E" w:rsidP="00DF675E">
      <w:pPr>
        <w:rPr>
          <w:lang w:val="en-US"/>
        </w:rPr>
      </w:pPr>
    </w:p>
    <w:p w14:paraId="4DA875A6" w14:textId="77777777" w:rsidR="00DF675E" w:rsidRPr="00DF675E" w:rsidRDefault="00DF675E" w:rsidP="00DF675E">
      <w:pPr>
        <w:rPr>
          <w:lang w:val="en-US"/>
        </w:rPr>
      </w:pPr>
    </w:p>
    <w:p w14:paraId="6E441076" w14:textId="77777777" w:rsidR="00466F87" w:rsidRPr="00466F87" w:rsidRDefault="00466F87" w:rsidP="00466F87">
      <w:pPr>
        <w:rPr>
          <w:lang w:val="en-US"/>
        </w:rPr>
      </w:pPr>
    </w:p>
    <w:sectPr w:rsidR="00466F87" w:rsidRPr="00466F87" w:rsidSect="00FF31E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BM Plex Sans">
    <w:panose1 w:val="020B0503050203000203"/>
    <w:charset w:val="4D"/>
    <w:family w:val="swiss"/>
    <w:pitch w:val="variable"/>
    <w:sig w:usb0="A000026F" w:usb1="5000207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66732534"/>
    <w:multiLevelType w:val="hybridMultilevel"/>
    <w:tmpl w:val="F61290CC"/>
    <w:lvl w:ilvl="0" w:tplc="8228D4D6">
      <w:start w:val="1"/>
      <w:numFmt w:val="lowerLetter"/>
      <w:lvlText w:val="%1."/>
      <w:lvlJc w:val="left"/>
      <w:pPr>
        <w:ind w:left="720" w:hanging="360"/>
      </w:pPr>
      <w:rPr>
        <w:rFonts w:ascii="AppleSystemUIFont" w:eastAsiaTheme="minorHAnsi" w:hAnsi="AppleSystemUIFont" w:cs="AppleSystemUIFon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D84A6F"/>
    <w:multiLevelType w:val="hybridMultilevel"/>
    <w:tmpl w:val="BB80D5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F87"/>
    <w:rsid w:val="00061767"/>
    <w:rsid w:val="002E243B"/>
    <w:rsid w:val="00466F87"/>
    <w:rsid w:val="00574B57"/>
    <w:rsid w:val="00DF675E"/>
    <w:rsid w:val="00FF3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9E455B"/>
  <w15:chartTrackingRefBased/>
  <w15:docId w15:val="{95017CD3-35AD-A342-B997-8ACD6A11F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6F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6F8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6F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66F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66F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74B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4B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7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IBM-Watson/aios-data-distribution/blob/master/training_statistics_notebook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Chamarthy</dc:creator>
  <cp:keywords/>
  <dc:description/>
  <cp:lastModifiedBy>Ravi Chamarthy</cp:lastModifiedBy>
  <cp:revision>1</cp:revision>
  <dcterms:created xsi:type="dcterms:W3CDTF">2020-07-09T12:36:00Z</dcterms:created>
  <dcterms:modified xsi:type="dcterms:W3CDTF">2020-07-09T13:05:00Z</dcterms:modified>
</cp:coreProperties>
</file>