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" w:right="0" w:firstLine="0"/>
        <w:jc w:val="center"/>
        <w:rPr>
          <w:rFonts w:ascii="Calibri" w:cs="Calibri" w:eastAsia="Calibri" w:hAnsi="Calibri"/>
          <w:b w:val="1"/>
          <w:color w:val="1f497d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44"/>
          <w:szCs w:val="44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44"/>
          <w:szCs w:val="44"/>
          <w:u w:val="none"/>
          <w:shd w:fill="auto" w:val="clear"/>
          <w:vertAlign w:val="baseline"/>
          <w:rtl w:val="0"/>
        </w:rPr>
        <w:t xml:space="preserve">Penetration Testing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report document hereby describes the proceedings and results of a Black Box security assessment conducted against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Week 7 Labs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report hereby lists the findings and corresponding best practice mitigation actions and recommendations.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of the assessment was to uncover vulnerabilities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7 Labs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provide a final security assessment report comprising vulnerabilities, remediation strategy and recommendation guidelines to help mitigate the identified vulnerabilities and risks during the activity.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defines the scope and boundaries of the project.</w:t>
      </w:r>
    </w:p>
    <w:tbl>
      <w:tblPr>
        <w:tblStyle w:val="Table1"/>
        <w:tblW w:w="8915.0" w:type="dxa"/>
        <w:jc w:val="left"/>
        <w:tblInd w:w="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000"/>
      </w:tblPr>
      <w:tblGrid>
        <w:gridCol w:w="1751"/>
        <w:gridCol w:w="7164"/>
        <w:tblGridChange w:id="0">
          <w:tblGrid>
            <w:gridCol w:w="1751"/>
            <w:gridCol w:w="7164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tcBorders>
              <w:top w:color="95b3d7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Name</w:t>
            </w:r>
          </w:p>
        </w:tc>
        <w:tc>
          <w:tcPr>
            <w:tcBorders>
              <w:top w:color="95b3d7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Server Side Request forgery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spacing w:after="0" w:before="0" w:line="240" w:lineRule="auto"/>
        <w:ind w:left="0" w:right="0" w:hanging="142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1t3h5sf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3.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Outlined is a Black Box Application Security assessment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7 Labs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ub-labs: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{count} Sub-labs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142" w:hanging="14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7.0" w:type="dxa"/>
        <w:jc w:val="left"/>
        <w:tblInd w:w="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1"/>
        <w:gridCol w:w="3083"/>
        <w:gridCol w:w="3083"/>
        <w:tblGridChange w:id="0">
          <w:tblGrid>
            <w:gridCol w:w="3081"/>
            <w:gridCol w:w="3083"/>
            <w:gridCol w:w="3083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79646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</w:t>
        <w:tab/>
        <w:t xml:space="preserve">Number of Sub-labs with hard difficulty level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0"/>
          <w:szCs w:val="20"/>
          <w:rtl w:val="0"/>
        </w:rPr>
        <w:t xml:space="preserve">Medium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</w:t>
        <w:tab/>
        <w:t xml:space="preserve">Number of Sub-labs with Medium difficulty level</w:t>
      </w:r>
    </w:p>
    <w:p w:rsidR="00000000" w:rsidDel="00000000" w:rsidP="00000000" w:rsidRDefault="00000000" w:rsidRPr="00000000" w14:paraId="00000022">
      <w:pPr>
        <w:spacing w:after="200" w:line="276" w:lineRule="auto"/>
        <w:rPr>
          <w:color w:val="1f497d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-</w:t>
        <w:tab/>
        <w:t xml:space="preserve">Number of Sub-labs with Easy difficulty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lineRule="auto"/>
        <w:ind w:left="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 {Lab 1 Name}</w:t>
      </w:r>
    </w:p>
    <w:p w:rsidR="00000000" w:rsidDel="00000000" w:rsidP="00000000" w:rsidRDefault="00000000" w:rsidRPr="00000000" w14:paraId="00000024">
      <w:pPr>
        <w:pStyle w:val="Heading1"/>
        <w:spacing w:after="0" w:lineRule="auto"/>
        <w:ind w:left="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1.1. {Sub-lab-1 Name}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{Sub-lab-1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after="0" w:lineRule="auto"/>
        <w:ind w:left="0"/>
        <w:rPr>
          <w:color w:val="1f497d"/>
        </w:rPr>
      </w:pPr>
      <w:bookmarkStart w:colFirst="0" w:colLast="0" w:name="_l8l9oeo546i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lineRule="auto"/>
        <w:ind w:left="0"/>
        <w:rPr>
          <w:color w:val="1f497d"/>
        </w:rPr>
      </w:pPr>
      <w:bookmarkStart w:colFirst="0" w:colLast="0" w:name="_dimwqzjj3jmi" w:id="4"/>
      <w:bookmarkEnd w:id="4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jc w:val="both"/>
        <w:rPr>
          <w:color w:val="1f497d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lineRule="auto"/>
        <w:ind w:left="0"/>
        <w:rPr>
          <w:color w:val="1f497d"/>
        </w:rPr>
      </w:pPr>
      <w:bookmarkStart w:colFirst="0" w:colLast="0" w:name="_1nwyuf6oast5" w:id="5"/>
      <w:bookmarkEnd w:id="5"/>
      <w:r w:rsidDel="00000000" w:rsidR="00000000" w:rsidRPr="00000000">
        <w:rPr>
          <w:color w:val="1f497d"/>
          <w:rtl w:val="0"/>
        </w:rPr>
        <w:t xml:space="preserve">1.2</w:t>
      </w:r>
      <w:r w:rsidDel="00000000" w:rsidR="00000000" w:rsidRPr="00000000">
        <w:rPr>
          <w:color w:val="1f497d"/>
          <w:rtl w:val="0"/>
        </w:rPr>
        <w:t xml:space="preserve">. {Sub-lab-2 Name}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{Sub-lab-2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lineRule="auto"/>
        <w:ind w:left="0"/>
        <w:rPr>
          <w:color w:val="1f497d"/>
        </w:rPr>
      </w:pPr>
      <w:bookmarkStart w:colFirst="0" w:colLast="0" w:name="_226h3rpks3j7" w:id="6"/>
      <w:bookmarkEnd w:id="6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39ias7wp770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0" w:lineRule="auto"/>
        <w:ind w:left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2. {Lab 2 Name (if the week has 2 labs)}</w:t>
      </w:r>
    </w:p>
    <w:p w:rsidR="00000000" w:rsidDel="00000000" w:rsidP="00000000" w:rsidRDefault="00000000" w:rsidRPr="00000000" w14:paraId="00000072">
      <w:pPr>
        <w:pStyle w:val="Heading1"/>
        <w:spacing w:after="0" w:lineRule="auto"/>
        <w:ind w:left="0"/>
        <w:rPr>
          <w:color w:val="1f497d"/>
        </w:rPr>
      </w:pPr>
      <w:bookmarkStart w:colFirst="0" w:colLast="0" w:name="_5x7l5aea9hhg" w:id="8"/>
      <w:bookmarkEnd w:id="8"/>
      <w:r w:rsidDel="00000000" w:rsidR="00000000" w:rsidRPr="00000000">
        <w:rPr>
          <w:color w:val="1f497d"/>
          <w:rtl w:val="0"/>
        </w:rPr>
        <w:t xml:space="preserve">2.1. {Sub-lab-1 Name}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3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{Sub-lab-1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spacing w:after="0" w:lineRule="auto"/>
        <w:ind w:left="0"/>
        <w:rPr>
          <w:color w:val="1f497d"/>
        </w:rPr>
      </w:pPr>
      <w:bookmarkStart w:colFirst="0" w:colLast="0" w:name="_cs30dk1xb3l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0" w:lineRule="auto"/>
        <w:ind w:left="0"/>
        <w:rPr>
          <w:color w:val="1f497d"/>
        </w:rPr>
      </w:pPr>
      <w:bookmarkStart w:colFirst="0" w:colLast="0" w:name="_wywemcbfujk6" w:id="10"/>
      <w:bookmarkEnd w:id="10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Rule="auto"/>
        <w:jc w:val="both"/>
        <w:rPr>
          <w:rFonts w:ascii="Calibri" w:cs="Calibri" w:eastAsia="Calibri" w:hAnsi="Calibri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</w:p>
    <w:p w:rsidR="00000000" w:rsidDel="00000000" w:rsidP="00000000" w:rsidRDefault="00000000" w:rsidRPr="00000000" w14:paraId="00000098">
      <w:pPr>
        <w:pStyle w:val="Heading1"/>
        <w:spacing w:after="0" w:lineRule="auto"/>
        <w:ind w:left="0"/>
        <w:rPr>
          <w:color w:val="1f497d"/>
        </w:rPr>
      </w:pPr>
      <w:bookmarkStart w:colFirst="0" w:colLast="0" w:name="_alzya36sul9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lineRule="auto"/>
        <w:ind w:left="0"/>
        <w:rPr>
          <w:color w:val="1f497d"/>
        </w:rPr>
      </w:pPr>
      <w:bookmarkStart w:colFirst="0" w:colLast="0" w:name="_nfbhppdlw24v" w:id="12"/>
      <w:bookmarkEnd w:id="12"/>
      <w:r w:rsidDel="00000000" w:rsidR="00000000" w:rsidRPr="00000000">
        <w:rPr>
          <w:color w:val="1f497d"/>
          <w:rtl w:val="0"/>
        </w:rPr>
        <w:t xml:space="preserve">2.2. {Sub-lab-2 Name}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{Sub-lab-2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C1">
      <w:pPr>
        <w:pStyle w:val="Heading1"/>
        <w:spacing w:after="0" w:lineRule="auto"/>
        <w:ind w:left="0"/>
        <w:rPr>
          <w:color w:val="1f497d"/>
        </w:rPr>
      </w:pPr>
      <w:bookmarkStart w:colFirst="0" w:colLast="0" w:name="_j5yby0om70q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0" w:lineRule="auto"/>
        <w:ind w:left="0"/>
        <w:rPr>
          <w:color w:val="1f497d"/>
        </w:rPr>
      </w:pPr>
      <w:bookmarkStart w:colFirst="0" w:colLast="0" w:name="_1gzedlubr8et" w:id="14"/>
      <w:bookmarkEnd w:id="14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2qtzkh68wa2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NOTES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Everything mentioned inside {} has to be changed based on your week, labs and sub-labs.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you have 2 labs in same week you need to mention that, if not ignore those mentions for lab 2.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Here it is given with 2 Sub-labs vulnerability, you need to add all the sub-labs based on your labs.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Don’t forget to add the screenshot of the vulnerability in the proof of concept.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only 1 screenshot in the Proof of Concept section.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This NOTE session is only for your reference, don’t forget to delete this in the report you submit.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648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92" w:hanging="432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24" w:hanging="504.00000000000006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