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4A8A" w:rsidRDefault="00B04A8A"/>
    <w:p w:rsidR="00B04A8A" w:rsidRDefault="00B04A8A"/>
    <w:p w:rsidR="00B04A8A" w:rsidRDefault="00B04A8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04A8A" w:rsidRPr="00B04A8A" w:rsidTr="00B04A8A">
        <w:tc>
          <w:tcPr>
            <w:tcW w:w="9016" w:type="dxa"/>
          </w:tcPr>
          <w:p w:rsidR="00B04A8A" w:rsidRDefault="00B04A8A" w:rsidP="00B04A8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04A8A" w:rsidRPr="00B04A8A" w:rsidRDefault="00B04A8A" w:rsidP="00B04A8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04A8A">
              <w:rPr>
                <w:rFonts w:ascii="Times New Roman" w:hAnsi="Times New Roman" w:cs="Times New Roman"/>
                <w:noProof/>
                <w:sz w:val="28"/>
                <w:szCs w:val="28"/>
                <w:lang w:eastAsia="en-IN" w:bidi="gu-IN"/>
              </w:rPr>
              <w:drawing>
                <wp:inline distT="0" distB="0" distL="0" distR="0">
                  <wp:extent cx="5621572" cy="3164550"/>
                  <wp:effectExtent l="0" t="0" r="0" b="0"/>
                  <wp:docPr id="1" name="Picture 1" descr="C:\Users\CHARUSAT\Desktop\New Microsoft PowerPoint Presentation (2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CHARUSAT\Desktop\New Microsoft PowerPoint Presentation (2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49433" cy="31802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4A8A" w:rsidRPr="00B04A8A" w:rsidTr="00B04A8A">
        <w:tc>
          <w:tcPr>
            <w:tcW w:w="9016" w:type="dxa"/>
          </w:tcPr>
          <w:p w:rsidR="00B04A8A" w:rsidRPr="00B04A8A" w:rsidRDefault="00B04A8A" w:rsidP="00B04A8A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4A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RPCP Centre for Zebrafish Toxicity Studies</w:t>
            </w:r>
          </w:p>
          <w:p w:rsidR="00B04A8A" w:rsidRDefault="00B04A8A" w:rsidP="00B04A8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GoBack"/>
            <w:bookmarkEnd w:id="0"/>
          </w:p>
          <w:p w:rsidR="00B04A8A" w:rsidRPr="00B04A8A" w:rsidRDefault="00B04A8A" w:rsidP="00B04A8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04A8A">
              <w:rPr>
                <w:rFonts w:ascii="Times New Roman" w:hAnsi="Times New Roman" w:cs="Times New Roman"/>
                <w:sz w:val="28"/>
                <w:szCs w:val="28"/>
              </w:rPr>
              <w:t>Zebrafish have emerged as a robust and scientifically validated alternative to traditional rodent models in toxicity research. Their high sensitivity to chemical, environmental (including pesticide), and nanoparticle-induced toxicities enables early and reliable detection of adverse effects, thereby substantially reducing study timelines. With approximately 75% genetic homology to humans, zebrafish provide strong translational relevance for predicting human toxicity outcomes. Their rapid embryonic development, external fertilization, and transparent embryos further allow real-time visualization of organogenesis and precise identification of developmental or physiological abnormalities.</w:t>
            </w:r>
          </w:p>
          <w:p w:rsidR="00B04A8A" w:rsidRPr="00B04A8A" w:rsidRDefault="00B04A8A" w:rsidP="00B04A8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04A8A" w:rsidRPr="00B04A8A" w:rsidRDefault="00B04A8A" w:rsidP="00B04A8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04A8A">
              <w:rPr>
                <w:rFonts w:ascii="Times New Roman" w:hAnsi="Times New Roman" w:cs="Times New Roman"/>
                <w:sz w:val="28"/>
                <w:szCs w:val="28"/>
              </w:rPr>
              <w:t xml:space="preserve">At </w:t>
            </w:r>
            <w:proofErr w:type="spellStart"/>
            <w:r w:rsidRPr="00B04A8A">
              <w:rPr>
                <w:rFonts w:ascii="Times New Roman" w:hAnsi="Times New Roman" w:cs="Times New Roman"/>
                <w:sz w:val="28"/>
                <w:szCs w:val="28"/>
              </w:rPr>
              <w:t>Ramanbhai</w:t>
            </w:r>
            <w:proofErr w:type="spellEnd"/>
            <w:r w:rsidRPr="00B04A8A">
              <w:rPr>
                <w:rFonts w:ascii="Times New Roman" w:hAnsi="Times New Roman" w:cs="Times New Roman"/>
                <w:sz w:val="28"/>
                <w:szCs w:val="28"/>
              </w:rPr>
              <w:t xml:space="preserve"> Patel College of Pharmacy, extensive expertise has been established in conducting diverse toxicity assessments using zebrafish models. Key proficiencies include neurotoxicity, </w:t>
            </w:r>
            <w:proofErr w:type="spellStart"/>
            <w:r w:rsidRPr="00B04A8A">
              <w:rPr>
                <w:rFonts w:ascii="Times New Roman" w:hAnsi="Times New Roman" w:cs="Times New Roman"/>
                <w:sz w:val="28"/>
                <w:szCs w:val="28"/>
              </w:rPr>
              <w:t>genotoxicity</w:t>
            </w:r>
            <w:proofErr w:type="spellEnd"/>
            <w:r w:rsidRPr="00B04A8A">
              <w:rPr>
                <w:rFonts w:ascii="Times New Roman" w:hAnsi="Times New Roman" w:cs="Times New Roman"/>
                <w:sz w:val="28"/>
                <w:szCs w:val="28"/>
              </w:rPr>
              <w:t>, developmental toxicity, cardiotoxicity, as well as molecular mechanism-focused studies involving apoptosis, oxidative stress, and related pathways. These capabilities position the institute as a leading centre for comprehensive, mechanism-driven toxicity evaluation leveraging advanced zebrafish research platforms.</w:t>
            </w:r>
          </w:p>
        </w:tc>
      </w:tr>
    </w:tbl>
    <w:p w:rsidR="00EB44DB" w:rsidRPr="00B04A8A" w:rsidRDefault="00B04A8A" w:rsidP="00B04A8A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EB44DB" w:rsidRPr="00B04A8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Cambria Math"/>
    <w:panose1 w:val="02000500000000000000"/>
    <w:charset w:val="01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47B"/>
    <w:rsid w:val="0030435B"/>
    <w:rsid w:val="0064447B"/>
    <w:rsid w:val="008B2235"/>
    <w:rsid w:val="00B04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41887"/>
  <w15:chartTrackingRefBased/>
  <w15:docId w15:val="{D3262438-FFBD-4E37-94D4-776A95F15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04A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CHARUSAT</dc:creator>
  <cp:keywords/>
  <dc:description/>
  <cp:lastModifiedBy>CHARUSAT</cp:lastModifiedBy>
  <cp:revision>2</cp:revision>
  <dcterms:created xsi:type="dcterms:W3CDTF">2025-12-01T05:57:00Z</dcterms:created>
  <dcterms:modified xsi:type="dcterms:W3CDTF">2025-12-01T06:05:00Z</dcterms:modified>
</cp:coreProperties>
</file>