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D8375C" w14:textId="50A8AD37" w:rsidR="00037688" w:rsidRDefault="00C42954" w:rsidP="00C42954">
      <w:pPr>
        <w:shd w:val="clear" w:color="auto" w:fill="002060"/>
        <w:jc w:val="center"/>
        <w:rPr>
          <w:b/>
          <w:bCs/>
          <w:lang w:val="en-US"/>
        </w:rPr>
      </w:pPr>
      <w:r w:rsidRPr="00C42954">
        <w:rPr>
          <w:b/>
          <w:bCs/>
          <w:lang w:val="en-US"/>
        </w:rPr>
        <w:t>FOCUSED RESEARCH AREA AND EXPERTISE</w:t>
      </w:r>
    </w:p>
    <w:p w14:paraId="374A834E" w14:textId="77777777" w:rsidR="008D1C61" w:rsidRDefault="008D1C61" w:rsidP="008D1C61">
      <w:pPr>
        <w:rPr>
          <w:b/>
          <w:bCs/>
          <w:lang w:val="en-US"/>
        </w:rPr>
      </w:pPr>
    </w:p>
    <w:tbl>
      <w:tblPr>
        <w:tblStyle w:val="TableGrid"/>
        <w:tblW w:w="0" w:type="auto"/>
        <w:tblLook w:val="04A0" w:firstRow="1" w:lastRow="0" w:firstColumn="1" w:lastColumn="0" w:noHBand="0" w:noVBand="1"/>
      </w:tblPr>
      <w:tblGrid>
        <w:gridCol w:w="2840"/>
        <w:gridCol w:w="6402"/>
      </w:tblGrid>
      <w:tr w:rsidR="00481AF1" w:rsidRPr="00481AF1" w14:paraId="78260506" w14:textId="77777777" w:rsidTr="00481AF1">
        <w:tc>
          <w:tcPr>
            <w:tcW w:w="0" w:type="auto"/>
            <w:hideMark/>
          </w:tcPr>
          <w:p w14:paraId="169EC308" w14:textId="77777777" w:rsidR="00481AF1" w:rsidRPr="00481AF1" w:rsidRDefault="00481AF1" w:rsidP="00481AF1">
            <w:pPr>
              <w:rPr>
                <w:rFonts w:eastAsia="Times New Roman"/>
                <w:b/>
                <w:bCs/>
                <w:color w:val="1F1F1F"/>
                <w:kern w:val="0"/>
                <w:sz w:val="24"/>
                <w:szCs w:val="24"/>
                <w:lang w:eastAsia="en-IN" w:bidi="hi-IN"/>
                <w14:ligatures w14:val="none"/>
              </w:rPr>
            </w:pPr>
            <w:r w:rsidRPr="00481AF1">
              <w:rPr>
                <w:rFonts w:eastAsia="Times New Roman"/>
                <w:b/>
                <w:bCs/>
                <w:color w:val="1F1F1F"/>
                <w:kern w:val="0"/>
                <w:sz w:val="24"/>
                <w:szCs w:val="24"/>
                <w:bdr w:val="none" w:sz="0" w:space="0" w:color="auto" w:frame="1"/>
                <w:lang w:eastAsia="en-IN" w:bidi="hi-IN"/>
                <w14:ligatures w14:val="none"/>
              </w:rPr>
              <w:t>Broad Area</w:t>
            </w:r>
          </w:p>
        </w:tc>
        <w:tc>
          <w:tcPr>
            <w:tcW w:w="0" w:type="auto"/>
            <w:hideMark/>
          </w:tcPr>
          <w:p w14:paraId="63ACD2F6" w14:textId="77777777" w:rsidR="00481AF1" w:rsidRPr="00481AF1" w:rsidRDefault="00481AF1" w:rsidP="00481AF1">
            <w:pPr>
              <w:rPr>
                <w:rFonts w:eastAsia="Times New Roman"/>
                <w:b/>
                <w:bCs/>
                <w:color w:val="1F1F1F"/>
                <w:kern w:val="0"/>
                <w:sz w:val="24"/>
                <w:szCs w:val="24"/>
                <w:lang w:eastAsia="en-IN" w:bidi="hi-IN"/>
                <w14:ligatures w14:val="none"/>
              </w:rPr>
            </w:pPr>
            <w:r w:rsidRPr="00481AF1">
              <w:rPr>
                <w:rFonts w:eastAsia="Times New Roman"/>
                <w:b/>
                <w:bCs/>
                <w:color w:val="1F1F1F"/>
                <w:kern w:val="0"/>
                <w:sz w:val="24"/>
                <w:szCs w:val="24"/>
                <w:bdr w:val="none" w:sz="0" w:space="0" w:color="auto" w:frame="1"/>
                <w:lang w:eastAsia="en-IN" w:bidi="hi-IN"/>
                <w14:ligatures w14:val="none"/>
              </w:rPr>
              <w:t>Core Expertise (Departmental Focus)</w:t>
            </w:r>
          </w:p>
        </w:tc>
      </w:tr>
      <w:tr w:rsidR="00481AF1" w:rsidRPr="00481AF1" w14:paraId="02C283DA" w14:textId="77777777" w:rsidTr="00481AF1">
        <w:tc>
          <w:tcPr>
            <w:tcW w:w="0" w:type="auto"/>
            <w:hideMark/>
          </w:tcPr>
          <w:p w14:paraId="659BB954" w14:textId="77777777" w:rsidR="00481AF1" w:rsidRPr="00481AF1" w:rsidRDefault="00481AF1" w:rsidP="00481AF1">
            <w:pPr>
              <w:rPr>
                <w:rFonts w:eastAsia="Times New Roman"/>
                <w:color w:val="1F1F1F"/>
                <w:kern w:val="0"/>
                <w:sz w:val="24"/>
                <w:szCs w:val="24"/>
                <w:lang w:eastAsia="en-IN" w:bidi="hi-IN"/>
                <w14:ligatures w14:val="none"/>
              </w:rPr>
            </w:pPr>
            <w:r w:rsidRPr="00481AF1">
              <w:rPr>
                <w:rFonts w:eastAsia="Times New Roman"/>
                <w:color w:val="1F1F1F"/>
                <w:kern w:val="0"/>
                <w:sz w:val="24"/>
                <w:szCs w:val="24"/>
                <w:bdr w:val="none" w:sz="0" w:space="0" w:color="auto" w:frame="1"/>
                <w:lang w:eastAsia="en-IN" w:bidi="hi-IN"/>
                <w14:ligatures w14:val="none"/>
              </w:rPr>
              <w:t>I. Novel Drug Delivery and Formulation</w:t>
            </w:r>
          </w:p>
        </w:tc>
        <w:tc>
          <w:tcPr>
            <w:tcW w:w="0" w:type="auto"/>
            <w:hideMark/>
          </w:tcPr>
          <w:p w14:paraId="2221B8FD" w14:textId="77777777" w:rsidR="00481AF1" w:rsidRPr="00481AF1" w:rsidRDefault="00481AF1" w:rsidP="00481AF1">
            <w:pPr>
              <w:jc w:val="both"/>
              <w:rPr>
                <w:rFonts w:eastAsia="Times New Roman"/>
                <w:color w:val="1F1F1F"/>
                <w:kern w:val="0"/>
                <w:sz w:val="24"/>
                <w:szCs w:val="24"/>
                <w:lang w:eastAsia="en-IN" w:bidi="hi-IN"/>
                <w14:ligatures w14:val="none"/>
              </w:rPr>
            </w:pPr>
            <w:r w:rsidRPr="00481AF1">
              <w:rPr>
                <w:rFonts w:eastAsia="Times New Roman"/>
                <w:color w:val="1F1F1F"/>
                <w:kern w:val="0"/>
                <w:sz w:val="24"/>
                <w:szCs w:val="24"/>
                <w:bdr w:val="none" w:sz="0" w:space="0" w:color="auto" w:frame="1"/>
                <w:lang w:eastAsia="en-IN" w:bidi="hi-IN"/>
                <w14:ligatures w14:val="none"/>
              </w:rPr>
              <w:t>Specialization in Novel Drug Delivery Systems (NDDS), including the design and evaluation of advanced carriers like Nanoparticles, Liposomes, Microemulsions, and Solid Lipid Nanoparticles. Key efforts include Targeted Drug Delivery (e.g., to the brain for neurological disorders, to the lungs for cancer) and Bioavailability Enhancement for poorly soluble drugs.</w:t>
            </w:r>
          </w:p>
        </w:tc>
      </w:tr>
      <w:tr w:rsidR="00481AF1" w:rsidRPr="00481AF1" w14:paraId="30D06CBF" w14:textId="77777777" w:rsidTr="00481AF1">
        <w:tc>
          <w:tcPr>
            <w:tcW w:w="0" w:type="auto"/>
            <w:hideMark/>
          </w:tcPr>
          <w:p w14:paraId="7B48EFAC" w14:textId="77777777" w:rsidR="00481AF1" w:rsidRPr="00481AF1" w:rsidRDefault="00481AF1" w:rsidP="00481AF1">
            <w:pPr>
              <w:rPr>
                <w:rFonts w:eastAsia="Times New Roman"/>
                <w:color w:val="1F1F1F"/>
                <w:kern w:val="0"/>
                <w:sz w:val="24"/>
                <w:szCs w:val="24"/>
                <w:lang w:eastAsia="en-IN" w:bidi="hi-IN"/>
                <w14:ligatures w14:val="none"/>
              </w:rPr>
            </w:pPr>
            <w:r w:rsidRPr="00481AF1">
              <w:rPr>
                <w:rFonts w:eastAsia="Times New Roman"/>
                <w:color w:val="1F1F1F"/>
                <w:kern w:val="0"/>
                <w:sz w:val="24"/>
                <w:szCs w:val="24"/>
                <w:bdr w:val="none" w:sz="0" w:space="0" w:color="auto" w:frame="1"/>
                <w:lang w:eastAsia="en-IN" w:bidi="hi-IN"/>
                <w14:ligatures w14:val="none"/>
              </w:rPr>
              <w:t>II. Pharmaceutical Chemistry and Analysis</w:t>
            </w:r>
          </w:p>
        </w:tc>
        <w:tc>
          <w:tcPr>
            <w:tcW w:w="0" w:type="auto"/>
            <w:hideMark/>
          </w:tcPr>
          <w:p w14:paraId="381FA381" w14:textId="77777777" w:rsidR="00481AF1" w:rsidRPr="00481AF1" w:rsidRDefault="00481AF1" w:rsidP="00481AF1">
            <w:pPr>
              <w:jc w:val="both"/>
              <w:rPr>
                <w:rFonts w:eastAsia="Times New Roman"/>
                <w:color w:val="1F1F1F"/>
                <w:kern w:val="0"/>
                <w:sz w:val="24"/>
                <w:szCs w:val="24"/>
                <w:lang w:eastAsia="en-IN" w:bidi="hi-IN"/>
                <w14:ligatures w14:val="none"/>
              </w:rPr>
            </w:pPr>
            <w:r w:rsidRPr="00481AF1">
              <w:rPr>
                <w:rFonts w:eastAsia="Times New Roman"/>
                <w:color w:val="1F1F1F"/>
                <w:kern w:val="0"/>
                <w:sz w:val="24"/>
                <w:szCs w:val="24"/>
                <w:bdr w:val="none" w:sz="0" w:space="0" w:color="auto" w:frame="1"/>
                <w:lang w:eastAsia="en-IN" w:bidi="hi-IN"/>
                <w14:ligatures w14:val="none"/>
              </w:rPr>
              <w:t>Expertise in Drug Design and Synthesis of novel chemical entities, often utilizing in-silico methods like molecular docking. A strong focus is placed on Advanced Analytical Method Development and Quality Control (QC/QA), including the establishment and validation of robust, stability-indicating chromatographic techniques (RP-HPLC, HPTLC) and impurity profiling.</w:t>
            </w:r>
          </w:p>
        </w:tc>
      </w:tr>
      <w:tr w:rsidR="00481AF1" w:rsidRPr="00481AF1" w14:paraId="13154B2E" w14:textId="77777777" w:rsidTr="00481AF1">
        <w:tc>
          <w:tcPr>
            <w:tcW w:w="0" w:type="auto"/>
            <w:hideMark/>
          </w:tcPr>
          <w:p w14:paraId="46E8AFE8" w14:textId="77777777" w:rsidR="00481AF1" w:rsidRPr="00481AF1" w:rsidRDefault="00481AF1" w:rsidP="00481AF1">
            <w:pPr>
              <w:rPr>
                <w:rFonts w:eastAsia="Times New Roman"/>
                <w:color w:val="1F1F1F"/>
                <w:kern w:val="0"/>
                <w:sz w:val="24"/>
                <w:szCs w:val="24"/>
                <w:lang w:eastAsia="en-IN" w:bidi="hi-IN"/>
                <w14:ligatures w14:val="none"/>
              </w:rPr>
            </w:pPr>
            <w:r w:rsidRPr="00481AF1">
              <w:rPr>
                <w:rFonts w:eastAsia="Times New Roman"/>
                <w:color w:val="1F1F1F"/>
                <w:kern w:val="0"/>
                <w:sz w:val="24"/>
                <w:szCs w:val="24"/>
                <w:bdr w:val="none" w:sz="0" w:space="0" w:color="auto" w:frame="1"/>
                <w:lang w:eastAsia="en-IN" w:bidi="hi-IN"/>
                <w14:ligatures w14:val="none"/>
              </w:rPr>
              <w:t>III. Pharmacology and Clinical/Translational Studies</w:t>
            </w:r>
          </w:p>
        </w:tc>
        <w:tc>
          <w:tcPr>
            <w:tcW w:w="0" w:type="auto"/>
            <w:hideMark/>
          </w:tcPr>
          <w:p w14:paraId="67B12CEC" w14:textId="77777777" w:rsidR="00481AF1" w:rsidRPr="00481AF1" w:rsidRDefault="00481AF1" w:rsidP="00481AF1">
            <w:pPr>
              <w:jc w:val="both"/>
              <w:rPr>
                <w:rFonts w:eastAsia="Times New Roman"/>
                <w:color w:val="1F1F1F"/>
                <w:kern w:val="0"/>
                <w:sz w:val="24"/>
                <w:szCs w:val="24"/>
                <w:lang w:eastAsia="en-IN" w:bidi="hi-IN"/>
                <w14:ligatures w14:val="none"/>
              </w:rPr>
            </w:pPr>
            <w:r w:rsidRPr="00481AF1">
              <w:rPr>
                <w:rFonts w:eastAsia="Times New Roman"/>
                <w:color w:val="1F1F1F"/>
                <w:kern w:val="0"/>
                <w:sz w:val="24"/>
                <w:szCs w:val="24"/>
                <w:bdr w:val="none" w:sz="0" w:space="0" w:color="auto" w:frame="1"/>
                <w:lang w:eastAsia="en-IN" w:bidi="hi-IN"/>
                <w14:ligatures w14:val="none"/>
              </w:rPr>
              <w:t>Research focuses on the Pharmacological Evaluation and therapeutic potential of drugs in various disease models (e.g., Cardiovascular, Diabetes, Inflammatory Bowel Disease, CNS disorders, Cancer). This also extends to Clinical Pharmacy and Pharmacoepidemiology, including studies on drug utilization, prescribing patterns, adverse drug reactions, and pharmacogenomics in patient populations.</w:t>
            </w:r>
          </w:p>
        </w:tc>
      </w:tr>
      <w:tr w:rsidR="00481AF1" w:rsidRPr="00481AF1" w14:paraId="3AF1C558" w14:textId="77777777" w:rsidTr="00481AF1">
        <w:tc>
          <w:tcPr>
            <w:tcW w:w="0" w:type="auto"/>
            <w:hideMark/>
          </w:tcPr>
          <w:p w14:paraId="32F1D756" w14:textId="77777777" w:rsidR="00481AF1" w:rsidRPr="00481AF1" w:rsidRDefault="00481AF1" w:rsidP="00481AF1">
            <w:pPr>
              <w:rPr>
                <w:rFonts w:eastAsia="Times New Roman"/>
                <w:color w:val="1F1F1F"/>
                <w:kern w:val="0"/>
                <w:sz w:val="24"/>
                <w:szCs w:val="24"/>
                <w:lang w:eastAsia="en-IN" w:bidi="hi-IN"/>
                <w14:ligatures w14:val="none"/>
              </w:rPr>
            </w:pPr>
            <w:r w:rsidRPr="00481AF1">
              <w:rPr>
                <w:rFonts w:eastAsia="Times New Roman"/>
                <w:color w:val="1F1F1F"/>
                <w:kern w:val="0"/>
                <w:sz w:val="24"/>
                <w:szCs w:val="24"/>
                <w:bdr w:val="none" w:sz="0" w:space="0" w:color="auto" w:frame="1"/>
                <w:lang w:eastAsia="en-IN" w:bidi="hi-IN"/>
                <w14:ligatures w14:val="none"/>
              </w:rPr>
              <w:t>IV. Natural Products and Standardization</w:t>
            </w:r>
          </w:p>
        </w:tc>
        <w:tc>
          <w:tcPr>
            <w:tcW w:w="0" w:type="auto"/>
            <w:hideMark/>
          </w:tcPr>
          <w:p w14:paraId="02DEDDDB" w14:textId="77777777" w:rsidR="00481AF1" w:rsidRPr="00481AF1" w:rsidRDefault="00481AF1" w:rsidP="00481AF1">
            <w:pPr>
              <w:jc w:val="both"/>
              <w:rPr>
                <w:rFonts w:eastAsia="Times New Roman"/>
                <w:color w:val="1F1F1F"/>
                <w:kern w:val="0"/>
                <w:sz w:val="24"/>
                <w:szCs w:val="24"/>
                <w:lang w:eastAsia="en-IN" w:bidi="hi-IN"/>
                <w14:ligatures w14:val="none"/>
              </w:rPr>
            </w:pPr>
            <w:r w:rsidRPr="00481AF1">
              <w:rPr>
                <w:rFonts w:eastAsia="Times New Roman"/>
                <w:color w:val="1F1F1F"/>
                <w:kern w:val="0"/>
                <w:sz w:val="24"/>
                <w:szCs w:val="24"/>
                <w:bdr w:val="none" w:sz="0" w:space="0" w:color="auto" w:frame="1"/>
                <w:lang w:eastAsia="en-IN" w:bidi="hi-IN"/>
                <w14:ligatures w14:val="none"/>
              </w:rPr>
              <w:t>Focus on Phytoconstituent Evaluation, involving the isolation, characterization, and screening of bioactive compounds from plant extracts for therapeutic applications (e.g., anti-inflammatory, management of male infertility). Expertise also covers Herbal Standardization and research into Traditional Medicine Systems like Ayurveda.</w:t>
            </w:r>
          </w:p>
        </w:tc>
      </w:tr>
    </w:tbl>
    <w:p w14:paraId="3F4D1D0E" w14:textId="77777777" w:rsidR="008D1C61" w:rsidRPr="00481AF1" w:rsidRDefault="008D1C61" w:rsidP="008D1C61"/>
    <w:p w14:paraId="71E1C5A5" w14:textId="6E8D86AE" w:rsidR="008D1C61" w:rsidRPr="00797E23" w:rsidRDefault="00797E23" w:rsidP="00797E23">
      <w:pPr>
        <w:shd w:val="clear" w:color="auto" w:fill="002060"/>
        <w:jc w:val="center"/>
        <w:rPr>
          <w:b/>
          <w:bCs/>
          <w:lang w:val="en-US"/>
        </w:rPr>
      </w:pPr>
      <w:r w:rsidRPr="00797E23">
        <w:rPr>
          <w:b/>
          <w:bCs/>
          <w:lang w:val="en-US"/>
        </w:rPr>
        <w:t>RESEARCH MATRICES</w:t>
      </w:r>
      <w:r w:rsidR="001108D1">
        <w:rPr>
          <w:b/>
          <w:bCs/>
          <w:lang w:val="en-US"/>
        </w:rPr>
        <w:t xml:space="preserve"> (</w:t>
      </w:r>
      <w:r w:rsidR="00D241F2">
        <w:rPr>
          <w:b/>
          <w:bCs/>
          <w:lang w:val="en-US"/>
        </w:rPr>
        <w:t>Till 2025)</w:t>
      </w:r>
    </w:p>
    <w:p w14:paraId="277BCDA7" w14:textId="77777777" w:rsidR="00C23CEC" w:rsidRDefault="00C23CEC" w:rsidP="008D1C61">
      <w:pPr>
        <w:rPr>
          <w:lang w:val="en-US"/>
        </w:rPr>
      </w:pPr>
    </w:p>
    <w:tbl>
      <w:tblPr>
        <w:tblStyle w:val="TableGrid"/>
        <w:tblW w:w="0" w:type="auto"/>
        <w:tblLook w:val="04A0" w:firstRow="1" w:lastRow="0" w:firstColumn="1" w:lastColumn="0" w:noHBand="0" w:noVBand="1"/>
      </w:tblPr>
      <w:tblGrid>
        <w:gridCol w:w="3510"/>
        <w:gridCol w:w="5732"/>
      </w:tblGrid>
      <w:tr w:rsidR="00797E23" w14:paraId="1B45FE4A" w14:textId="77777777" w:rsidTr="00797E23">
        <w:tc>
          <w:tcPr>
            <w:tcW w:w="3510" w:type="dxa"/>
          </w:tcPr>
          <w:p w14:paraId="0CFF41B8" w14:textId="3D1D108F" w:rsidR="00797E23" w:rsidRDefault="00797E23" w:rsidP="008D1C61">
            <w:pPr>
              <w:rPr>
                <w:lang w:val="en-US"/>
              </w:rPr>
            </w:pPr>
            <w:r>
              <w:rPr>
                <w:lang w:val="en-US"/>
              </w:rPr>
              <w:t>Journal Publication</w:t>
            </w:r>
          </w:p>
        </w:tc>
        <w:tc>
          <w:tcPr>
            <w:tcW w:w="5732" w:type="dxa"/>
          </w:tcPr>
          <w:p w14:paraId="3788EF02" w14:textId="5CA78C92" w:rsidR="00797E23" w:rsidRDefault="00135BB2" w:rsidP="008D1C61">
            <w:pPr>
              <w:rPr>
                <w:lang w:val="en-US"/>
              </w:rPr>
            </w:pPr>
            <w:r>
              <w:rPr>
                <w:lang w:val="en-US"/>
              </w:rPr>
              <w:t>633+</w:t>
            </w:r>
          </w:p>
        </w:tc>
      </w:tr>
      <w:tr w:rsidR="00797E23" w14:paraId="57CF2035" w14:textId="77777777" w:rsidTr="00797E23">
        <w:tc>
          <w:tcPr>
            <w:tcW w:w="3510" w:type="dxa"/>
          </w:tcPr>
          <w:p w14:paraId="67391933" w14:textId="6A180624" w:rsidR="00797E23" w:rsidRDefault="00797E23" w:rsidP="008D1C61">
            <w:pPr>
              <w:rPr>
                <w:lang w:val="en-US"/>
              </w:rPr>
            </w:pPr>
            <w:r>
              <w:rPr>
                <w:lang w:val="en-US"/>
              </w:rPr>
              <w:t>Book / Book Chapter</w:t>
            </w:r>
          </w:p>
        </w:tc>
        <w:tc>
          <w:tcPr>
            <w:tcW w:w="5732" w:type="dxa"/>
          </w:tcPr>
          <w:p w14:paraId="14889BD6" w14:textId="32695B34" w:rsidR="00797E23" w:rsidRDefault="00135BB2" w:rsidP="008D1C61">
            <w:pPr>
              <w:rPr>
                <w:lang w:val="en-US"/>
              </w:rPr>
            </w:pPr>
            <w:r>
              <w:rPr>
                <w:lang w:val="en-US"/>
              </w:rPr>
              <w:t>83+</w:t>
            </w:r>
          </w:p>
        </w:tc>
      </w:tr>
      <w:tr w:rsidR="00797E23" w14:paraId="2EDE8123" w14:textId="77777777" w:rsidTr="00797E23">
        <w:tc>
          <w:tcPr>
            <w:tcW w:w="3510" w:type="dxa"/>
          </w:tcPr>
          <w:p w14:paraId="40136553" w14:textId="12A7886E" w:rsidR="00797E23" w:rsidRDefault="00797E23" w:rsidP="008D1C61">
            <w:pPr>
              <w:rPr>
                <w:lang w:val="en-US"/>
              </w:rPr>
            </w:pPr>
            <w:r>
              <w:rPr>
                <w:lang w:val="en-US"/>
              </w:rPr>
              <w:t>Patent</w:t>
            </w:r>
            <w:r w:rsidR="00F27445">
              <w:rPr>
                <w:lang w:val="en-US"/>
              </w:rPr>
              <w:t xml:space="preserve"> </w:t>
            </w:r>
          </w:p>
        </w:tc>
        <w:tc>
          <w:tcPr>
            <w:tcW w:w="5732" w:type="dxa"/>
          </w:tcPr>
          <w:p w14:paraId="4322F359" w14:textId="6E9880B5" w:rsidR="00797E23" w:rsidRDefault="00135BB2" w:rsidP="008D1C61">
            <w:pPr>
              <w:rPr>
                <w:lang w:val="en-US"/>
              </w:rPr>
            </w:pPr>
            <w:r>
              <w:rPr>
                <w:lang w:val="en-US"/>
              </w:rPr>
              <w:t>18</w:t>
            </w:r>
          </w:p>
        </w:tc>
      </w:tr>
      <w:tr w:rsidR="00797E23" w14:paraId="0D899A6E" w14:textId="77777777" w:rsidTr="00797E23">
        <w:tc>
          <w:tcPr>
            <w:tcW w:w="3510" w:type="dxa"/>
          </w:tcPr>
          <w:p w14:paraId="290CF375" w14:textId="208D82E3" w:rsidR="00797E23" w:rsidRDefault="00797E23" w:rsidP="008D1C61">
            <w:pPr>
              <w:rPr>
                <w:lang w:val="en-US"/>
              </w:rPr>
            </w:pPr>
            <w:r>
              <w:rPr>
                <w:lang w:val="en-US"/>
              </w:rPr>
              <w:t>Consultancy</w:t>
            </w:r>
            <w:r w:rsidR="00703B9B">
              <w:rPr>
                <w:lang w:val="en-US"/>
              </w:rPr>
              <w:t xml:space="preserve"> Projects</w:t>
            </w:r>
          </w:p>
        </w:tc>
        <w:tc>
          <w:tcPr>
            <w:tcW w:w="5732" w:type="dxa"/>
          </w:tcPr>
          <w:p w14:paraId="70E49DE0" w14:textId="626826DD" w:rsidR="00797E23" w:rsidRDefault="00135BB2" w:rsidP="008D1C61">
            <w:pPr>
              <w:rPr>
                <w:lang w:val="en-US"/>
              </w:rPr>
            </w:pPr>
            <w:r>
              <w:rPr>
                <w:lang w:val="en-US"/>
              </w:rPr>
              <w:t>&gt;50 lacs</w:t>
            </w:r>
          </w:p>
        </w:tc>
      </w:tr>
      <w:tr w:rsidR="00135BB2" w14:paraId="4C17DFDA" w14:textId="77777777" w:rsidTr="00797E23">
        <w:tc>
          <w:tcPr>
            <w:tcW w:w="3510" w:type="dxa"/>
          </w:tcPr>
          <w:p w14:paraId="42EC6823" w14:textId="033B4E97" w:rsidR="00135BB2" w:rsidRDefault="00135BB2" w:rsidP="008D1C61">
            <w:pPr>
              <w:rPr>
                <w:lang w:val="en-US"/>
              </w:rPr>
            </w:pPr>
            <w:r>
              <w:rPr>
                <w:lang w:val="en-US"/>
              </w:rPr>
              <w:t>Sanctioned Research Projects</w:t>
            </w:r>
          </w:p>
        </w:tc>
        <w:tc>
          <w:tcPr>
            <w:tcW w:w="5732" w:type="dxa"/>
          </w:tcPr>
          <w:p w14:paraId="0263DCBD" w14:textId="798A597C" w:rsidR="00135BB2" w:rsidRDefault="00135BB2" w:rsidP="008D1C61">
            <w:pPr>
              <w:rPr>
                <w:lang w:val="en-US"/>
              </w:rPr>
            </w:pPr>
            <w:r>
              <w:rPr>
                <w:lang w:val="en-US"/>
              </w:rPr>
              <w:t>30+</w:t>
            </w:r>
          </w:p>
        </w:tc>
      </w:tr>
      <w:tr w:rsidR="00135BB2" w14:paraId="2BFE4B79" w14:textId="77777777" w:rsidTr="00797E23">
        <w:tc>
          <w:tcPr>
            <w:tcW w:w="3510" w:type="dxa"/>
          </w:tcPr>
          <w:p w14:paraId="73B44E8D" w14:textId="2B545BE6" w:rsidR="00135BB2" w:rsidRDefault="00135BB2" w:rsidP="008D1C61">
            <w:pPr>
              <w:rPr>
                <w:lang w:val="en-US"/>
              </w:rPr>
            </w:pPr>
            <w:r>
              <w:rPr>
                <w:lang w:val="en-US"/>
              </w:rPr>
              <w:t>Student Innovation Projects</w:t>
            </w:r>
          </w:p>
        </w:tc>
        <w:tc>
          <w:tcPr>
            <w:tcW w:w="5732" w:type="dxa"/>
          </w:tcPr>
          <w:p w14:paraId="67365F99" w14:textId="4ECDEB81" w:rsidR="00135BB2" w:rsidRDefault="00135BB2" w:rsidP="008D1C61">
            <w:pPr>
              <w:rPr>
                <w:lang w:val="en-US"/>
              </w:rPr>
            </w:pPr>
            <w:r>
              <w:rPr>
                <w:lang w:val="en-US"/>
              </w:rPr>
              <w:t>14+</w:t>
            </w:r>
            <w:bookmarkStart w:id="0" w:name="_GoBack"/>
            <w:bookmarkEnd w:id="0"/>
          </w:p>
        </w:tc>
      </w:tr>
      <w:tr w:rsidR="00797E23" w14:paraId="5A4AA9FA" w14:textId="77777777" w:rsidTr="00797E23">
        <w:tc>
          <w:tcPr>
            <w:tcW w:w="3510" w:type="dxa"/>
          </w:tcPr>
          <w:p w14:paraId="72F631C5" w14:textId="78CDBA60" w:rsidR="00797E23" w:rsidRDefault="00797E23" w:rsidP="008D1C61">
            <w:pPr>
              <w:rPr>
                <w:lang w:val="en-US"/>
              </w:rPr>
            </w:pPr>
            <w:r>
              <w:rPr>
                <w:lang w:val="en-US"/>
              </w:rPr>
              <w:t>Research Projects and Funding</w:t>
            </w:r>
          </w:p>
        </w:tc>
        <w:tc>
          <w:tcPr>
            <w:tcW w:w="5732" w:type="dxa"/>
          </w:tcPr>
          <w:p w14:paraId="69E03B2A" w14:textId="2135DF26" w:rsidR="00797E23" w:rsidRDefault="00832E65" w:rsidP="008D1C61">
            <w:pPr>
              <w:rPr>
                <w:lang w:val="en-US"/>
              </w:rPr>
            </w:pPr>
            <w:r>
              <w:rPr>
                <w:lang w:val="en-US"/>
              </w:rPr>
              <w:t>69</w:t>
            </w:r>
            <w:r w:rsidR="004B536B">
              <w:rPr>
                <w:lang w:val="en-US"/>
              </w:rPr>
              <w:t xml:space="preserve"> (</w:t>
            </w:r>
            <w:r w:rsidR="00863A27">
              <w:rPr>
                <w:lang w:val="en-US"/>
              </w:rPr>
              <w:t>Rs 1,49, 64,857</w:t>
            </w:r>
            <w:r w:rsidR="00E93EB0">
              <w:rPr>
                <w:lang w:val="en-US"/>
              </w:rPr>
              <w:t>.00)</w:t>
            </w:r>
          </w:p>
        </w:tc>
      </w:tr>
      <w:tr w:rsidR="008106CD" w14:paraId="76A3A2FA" w14:textId="77777777" w:rsidTr="00797E23">
        <w:tc>
          <w:tcPr>
            <w:tcW w:w="3510" w:type="dxa"/>
          </w:tcPr>
          <w:p w14:paraId="1A3912C8" w14:textId="51A249B4" w:rsidR="008106CD" w:rsidRDefault="008106CD" w:rsidP="008D1C61">
            <w:pPr>
              <w:rPr>
                <w:lang w:val="en-US"/>
              </w:rPr>
            </w:pPr>
            <w:r>
              <w:rPr>
                <w:lang w:val="en-US"/>
              </w:rPr>
              <w:t>H-Index (Scopus)</w:t>
            </w:r>
          </w:p>
        </w:tc>
        <w:tc>
          <w:tcPr>
            <w:tcW w:w="5732" w:type="dxa"/>
          </w:tcPr>
          <w:p w14:paraId="1A92390F" w14:textId="04ACA226" w:rsidR="008106CD" w:rsidRDefault="00135BB2" w:rsidP="008D1C61">
            <w:pPr>
              <w:rPr>
                <w:lang w:val="en-US"/>
              </w:rPr>
            </w:pPr>
            <w:r>
              <w:rPr>
                <w:lang w:val="en-US"/>
              </w:rPr>
              <w:t>34+</w:t>
            </w:r>
          </w:p>
        </w:tc>
      </w:tr>
      <w:tr w:rsidR="008106CD" w14:paraId="245642CD" w14:textId="77777777" w:rsidTr="00797E23">
        <w:tc>
          <w:tcPr>
            <w:tcW w:w="3510" w:type="dxa"/>
          </w:tcPr>
          <w:p w14:paraId="3FC20CE0" w14:textId="6F1EDED8" w:rsidR="008106CD" w:rsidRDefault="008106CD" w:rsidP="008D1C61">
            <w:pPr>
              <w:rPr>
                <w:lang w:val="en-US"/>
              </w:rPr>
            </w:pPr>
            <w:r>
              <w:rPr>
                <w:lang w:val="en-US"/>
              </w:rPr>
              <w:t>Total Citation (Scopus)</w:t>
            </w:r>
          </w:p>
        </w:tc>
        <w:tc>
          <w:tcPr>
            <w:tcW w:w="5732" w:type="dxa"/>
          </w:tcPr>
          <w:p w14:paraId="1274C27F" w14:textId="752139E5" w:rsidR="008106CD" w:rsidRDefault="00135BB2" w:rsidP="008D1C61">
            <w:pPr>
              <w:rPr>
                <w:lang w:val="en-US"/>
              </w:rPr>
            </w:pPr>
            <w:r>
              <w:rPr>
                <w:lang w:val="en-US"/>
              </w:rPr>
              <w:t>5779+</w:t>
            </w:r>
          </w:p>
        </w:tc>
      </w:tr>
    </w:tbl>
    <w:p w14:paraId="6DCFC301" w14:textId="77777777" w:rsidR="00C23CEC" w:rsidRDefault="00C23CEC" w:rsidP="008D1C61">
      <w:pPr>
        <w:rPr>
          <w:lang w:val="en-US"/>
        </w:rPr>
      </w:pPr>
    </w:p>
    <w:p w14:paraId="77B3574E" w14:textId="77777777" w:rsidR="00C23CEC" w:rsidRDefault="00C23CEC" w:rsidP="008D1C61">
      <w:pPr>
        <w:rPr>
          <w:lang w:val="en-US"/>
        </w:rPr>
      </w:pPr>
    </w:p>
    <w:p w14:paraId="261D307F" w14:textId="30DB8FBE" w:rsidR="008D1C61" w:rsidRDefault="004A15DA" w:rsidP="004A15DA">
      <w:pPr>
        <w:shd w:val="clear" w:color="auto" w:fill="002060"/>
        <w:jc w:val="center"/>
        <w:rPr>
          <w:b/>
          <w:bCs/>
          <w:lang w:val="en-US"/>
        </w:rPr>
      </w:pPr>
      <w:r w:rsidRPr="004A15DA">
        <w:rPr>
          <w:b/>
          <w:bCs/>
          <w:lang w:val="en-US"/>
        </w:rPr>
        <w:t xml:space="preserve">CULTURE OF </w:t>
      </w:r>
      <w:r w:rsidR="008D1C61" w:rsidRPr="004A15DA">
        <w:rPr>
          <w:b/>
          <w:bCs/>
          <w:lang w:val="en-US"/>
        </w:rPr>
        <w:t>INNOVATION</w:t>
      </w:r>
    </w:p>
    <w:p w14:paraId="3D53AEFF" w14:textId="77777777" w:rsidR="004A15DA" w:rsidRDefault="004A15DA" w:rsidP="004A15DA">
      <w:pPr>
        <w:rPr>
          <w:b/>
          <w:bCs/>
          <w:lang w:val="en-US"/>
        </w:rPr>
      </w:pPr>
    </w:p>
    <w:p w14:paraId="528E7879" w14:textId="77777777" w:rsidR="004A15DA" w:rsidRDefault="004A15DA" w:rsidP="004A15DA">
      <w:pPr>
        <w:rPr>
          <w:lang w:val="en-US"/>
        </w:rPr>
      </w:pPr>
    </w:p>
    <w:p w14:paraId="17B28451" w14:textId="77777777" w:rsidR="004A15DA" w:rsidRDefault="004A15DA" w:rsidP="004A15DA">
      <w:pPr>
        <w:rPr>
          <w:lang w:val="en-US"/>
        </w:rPr>
      </w:pPr>
    </w:p>
    <w:p w14:paraId="092328BA" w14:textId="77777777" w:rsidR="004A15DA" w:rsidRDefault="004A15DA" w:rsidP="004A15DA">
      <w:pPr>
        <w:rPr>
          <w:lang w:val="en-US"/>
        </w:rPr>
      </w:pPr>
    </w:p>
    <w:p w14:paraId="77FFAA2F" w14:textId="77777777" w:rsidR="004A15DA" w:rsidRDefault="004A15DA" w:rsidP="004A15DA">
      <w:pPr>
        <w:rPr>
          <w:lang w:val="en-US"/>
        </w:rPr>
      </w:pPr>
    </w:p>
    <w:p w14:paraId="3718075F" w14:textId="77777777" w:rsidR="004A15DA" w:rsidRPr="004A15DA" w:rsidRDefault="004A15DA" w:rsidP="004A15DA">
      <w:pPr>
        <w:rPr>
          <w:lang w:val="en-US"/>
        </w:rPr>
      </w:pPr>
    </w:p>
    <w:sectPr w:rsidR="004A15DA" w:rsidRPr="004A1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proofState w:spelling="clean" w:grammar="clean"/>
  <w:defaultTabStop w:val="720"/>
  <w:characterSpacingControl w:val="doNotCompress"/>
  <w:compat>
    <w:compatSetting w:name="compatibilityMode" w:uri="http://schemas.microsoft.com/office/word" w:val="12"/>
  </w:compat>
  <w:rsids>
    <w:rsidRoot w:val="00CF217A"/>
    <w:rsid w:val="00030280"/>
    <w:rsid w:val="00037688"/>
    <w:rsid w:val="001108D1"/>
    <w:rsid w:val="00135BB2"/>
    <w:rsid w:val="002942E9"/>
    <w:rsid w:val="00481AF1"/>
    <w:rsid w:val="004A15DA"/>
    <w:rsid w:val="004B536B"/>
    <w:rsid w:val="004C5C79"/>
    <w:rsid w:val="005600CE"/>
    <w:rsid w:val="006007AA"/>
    <w:rsid w:val="00637B09"/>
    <w:rsid w:val="006B354F"/>
    <w:rsid w:val="00703B9B"/>
    <w:rsid w:val="00732837"/>
    <w:rsid w:val="00797E23"/>
    <w:rsid w:val="008106CD"/>
    <w:rsid w:val="00832E65"/>
    <w:rsid w:val="008332E4"/>
    <w:rsid w:val="008435FB"/>
    <w:rsid w:val="00863A27"/>
    <w:rsid w:val="008D1C61"/>
    <w:rsid w:val="00A04834"/>
    <w:rsid w:val="00C23CEC"/>
    <w:rsid w:val="00C42954"/>
    <w:rsid w:val="00C720D9"/>
    <w:rsid w:val="00CF217A"/>
    <w:rsid w:val="00D241F2"/>
    <w:rsid w:val="00E86D01"/>
    <w:rsid w:val="00E93EB0"/>
    <w:rsid w:val="00E9406E"/>
    <w:rsid w:val="00F2221C"/>
    <w:rsid w:val="00F27445"/>
    <w:rsid w:val="00F75461"/>
    <w:rsid w:val="00F75E1D"/>
    <w:rsid w:val="00FD74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5ECC"/>
  <w15:chartTrackingRefBased/>
  <w15:docId w15:val="{33E839DF-5340-4EF1-BBC7-511B0A0B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kern w:val="2"/>
        <w:sz w:val="22"/>
        <w:szCs w:val="22"/>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2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1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1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21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21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21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21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21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1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1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21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21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21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21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21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21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1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1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21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217A"/>
    <w:rPr>
      <w:i/>
      <w:iCs/>
      <w:color w:val="404040" w:themeColor="text1" w:themeTint="BF"/>
    </w:rPr>
  </w:style>
  <w:style w:type="paragraph" w:styleId="ListParagraph">
    <w:name w:val="List Paragraph"/>
    <w:basedOn w:val="Normal"/>
    <w:uiPriority w:val="34"/>
    <w:qFormat/>
    <w:rsid w:val="00CF217A"/>
    <w:pPr>
      <w:ind w:left="720"/>
      <w:contextualSpacing/>
    </w:pPr>
  </w:style>
  <w:style w:type="character" w:styleId="IntenseEmphasis">
    <w:name w:val="Intense Emphasis"/>
    <w:basedOn w:val="DefaultParagraphFont"/>
    <w:uiPriority w:val="21"/>
    <w:qFormat/>
    <w:rsid w:val="00CF217A"/>
    <w:rPr>
      <w:i/>
      <w:iCs/>
      <w:color w:val="0F4761" w:themeColor="accent1" w:themeShade="BF"/>
    </w:rPr>
  </w:style>
  <w:style w:type="paragraph" w:styleId="IntenseQuote">
    <w:name w:val="Intense Quote"/>
    <w:basedOn w:val="Normal"/>
    <w:next w:val="Normal"/>
    <w:link w:val="IntenseQuoteChar"/>
    <w:uiPriority w:val="30"/>
    <w:qFormat/>
    <w:rsid w:val="00CF2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17A"/>
    <w:rPr>
      <w:i/>
      <w:iCs/>
      <w:color w:val="0F4761" w:themeColor="accent1" w:themeShade="BF"/>
    </w:rPr>
  </w:style>
  <w:style w:type="character" w:styleId="IntenseReference">
    <w:name w:val="Intense Reference"/>
    <w:basedOn w:val="DefaultParagraphFont"/>
    <w:uiPriority w:val="32"/>
    <w:qFormat/>
    <w:rsid w:val="00CF217A"/>
    <w:rPr>
      <w:b/>
      <w:bCs/>
      <w:smallCaps/>
      <w:color w:val="0F4761" w:themeColor="accent1" w:themeShade="BF"/>
      <w:spacing w:val="5"/>
    </w:rPr>
  </w:style>
  <w:style w:type="table" w:styleId="TableGrid">
    <w:name w:val="Table Grid"/>
    <w:basedOn w:val="TableNormal"/>
    <w:uiPriority w:val="39"/>
    <w:rsid w:val="00481A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BA73A-ABDB-4E07-A1C8-E08D4EA9A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CHARUSAT</cp:lastModifiedBy>
  <cp:revision>19</cp:revision>
  <dcterms:created xsi:type="dcterms:W3CDTF">2025-12-03T03:43:00Z</dcterms:created>
  <dcterms:modified xsi:type="dcterms:W3CDTF">2025-12-06T05:29:00Z</dcterms:modified>
</cp:coreProperties>
</file>