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angin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00" w:after="120"/>
        <w:jc w:val="center"/>
      </w:pPr>
      <w:r>
        <w:rPr>
          <w:rFonts w:ascii="Calibri" w:hAnsi="Calibri"/>
          <w:b/>
          <w:color w:val="2E74B5"/>
          <w:sz w:val="26"/>
        </w:rPr>
        <w:t>TARANGINI BILLING</w:t>
      </w:r>
    </w:p>
    <w:p>
      <w:pPr>
        <w:pStyle w:val="Title"/>
        <w:jc w:val="center"/>
      </w:pPr>
      <w:r>
        <w:t>Visual User Manual</w:t>
      </w:r>
    </w:p>
    <w:p>
      <w:pPr>
        <w:pStyle w:val="Subtitle"/>
        <w:jc w:val="center"/>
      </w:pPr>
      <w:r>
        <w:t>Billing, payments, POS, corrections, backups and recovery</w:t>
      </w:r>
    </w:p>
    <w:p>
      <w:pPr>
        <w:spacing w:before="200"/>
        <w:jc w:val="center"/>
      </w:pPr>
      <w:r>
        <w:rPr>
          <w:b/>
          <w:color w:val="17365D"/>
          <w:sz w:val="20"/>
        </w:rPr>
        <w:t>VERSION 1.1.6  |  OWNER &amp; OPERATOR GUIDE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680"/>
            <w:shd w:fill="EAF2F8"/>
            <w:tcBorders>
              <w:left w:val="single" w:sz="12" w:color="2E74B5"/>
            </w:tcBorders>
            <w:tcMar>
              <w:top w:w="105" w:type="dxa"/>
              <w:start w:w="150" w:type="dxa"/>
              <w:bottom w:w="105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2E74B5"/>
                <w:sz w:val="18"/>
              </w:rPr>
              <w:t>PURPOSE</w:t>
            </w:r>
          </w:p>
          <w:p>
            <w:pPr>
              <w:spacing w:after="0" w:line="259" w:lineRule="auto"/>
            </w:pPr>
            <w:r>
              <w:t>Use this guide for daily billing, payment collection, invoice corrections, operator handover, backup setup, restoration and software updates.</w:t>
            </w:r>
          </w:p>
        </w:tc>
      </w:tr>
    </w:tbl>
    <w:p>
      <w:pPr>
        <w:spacing w:after="0"/>
      </w:pPr>
    </w:p>
    <w:p>
      <w:pPr>
        <w:spacing w:before="720"/>
        <w:jc w:val="center"/>
      </w:pPr>
      <w:r>
        <w:rPr>
          <w:color w:val="5B6770"/>
          <w:sz w:val="18"/>
        </w:rPr>
        <w:t>Prepared June 2026</w:t>
      </w:r>
    </w:p>
    <w:p>
      <w:r>
        <w:br w:type="page"/>
      </w:r>
    </w:p>
    <w:p>
      <w:pPr>
        <w:pStyle w:val="Heading1"/>
      </w:pPr>
      <w:r>
        <w:t>Quick Start</w:t>
      </w:r>
    </w:p>
    <w:p>
      <w:pPr>
        <w:pStyle w:val="Heading2"/>
      </w:pPr>
      <w:r>
        <w:t>Who uses what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shd w:fill="17365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536"/>
            <w:shd w:fill="17365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Daily responsibilities</w:t>
            </w:r>
          </w:p>
        </w:tc>
        <w:tc>
          <w:tcPr>
            <w:tcW w:type="dxa" w:w="3384"/>
            <w:shd w:fill="17365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Restricted or approval actions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Owner / Admin</w:t>
            </w:r>
          </w:p>
        </w:tc>
        <w:tc>
          <w:tcPr>
            <w:tcW w:type="dxa" w:w="4536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Full billing, accounting, reports, backups, updates and acceptance.</w:t>
            </w:r>
          </w:p>
        </w:tc>
        <w:tc>
          <w:tcPr>
            <w:tcW w:type="dxa" w:w="3384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Approves corrections; restores backups; installs updates.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Operator</w:t>
            </w:r>
          </w:p>
        </w:tc>
        <w:tc>
          <w:tcPr>
            <w:tcW w:type="dxa" w:w="4536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Creates bills, receives permitted payments, requests corrections and submits shift handover.</w:t>
            </w:r>
          </w:p>
        </w:tc>
        <w:tc>
          <w:tcPr>
            <w:tcW w:type="dxa" w:w="3384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Cannot approve own correction requests or perform protected administration.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Client counter</w:t>
            </w:r>
          </w:p>
        </w:tc>
        <w:tc>
          <w:tcPr>
            <w:tcW w:type="dxa" w:w="4536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Connects to the Main System over LAN and can keep offline drafts during a temporary outage.</w:t>
            </w:r>
          </w:p>
        </w:tc>
        <w:tc>
          <w:tcPr>
            <w:tcW w:type="dxa" w:w="3384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Must sync pending work before an upgrade.</w:t>
            </w:r>
          </w:p>
        </w:tc>
      </w:tr>
    </w:tbl>
    <w:p>
      <w:pPr>
        <w:spacing w:after="0"/>
      </w:pPr>
    </w:p>
    <w:p>
      <w:pPr>
        <w:pStyle w:val="Heading2"/>
      </w:pPr>
      <w:r>
        <w:t>Recommended opening routine</w:t>
      </w:r>
    </w:p>
    <w:p>
      <w:pPr>
        <w:pStyle w:val="ListNumber"/>
        <w:numPr>
          <w:ilvl w:val="0"/>
          <w:numId w:val="10"/>
        </w:numPr>
      </w:pPr>
      <w:r>
        <w:t>Start the Main System first. It holds the shared database and serves all client counters.</w:t>
      </w:r>
    </w:p>
    <w:p>
      <w:pPr>
        <w:pStyle w:val="ListNumber"/>
        <w:numPr>
          <w:ilvl w:val="0"/>
          <w:numId w:val="10"/>
        </w:numPr>
      </w:pPr>
      <w:r>
        <w:t>Confirm every client displays Connected before billing.</w:t>
      </w:r>
    </w:p>
    <w:p>
      <w:pPr>
        <w:pStyle w:val="ListNumber"/>
        <w:numPr>
          <w:ilvl w:val="0"/>
          <w:numId w:val="10"/>
        </w:numPr>
      </w:pPr>
      <w:r>
        <w:t>Open Dashboard and review today’s sales, payment status and pending work.</w:t>
      </w:r>
    </w:p>
    <w:p>
      <w:pPr>
        <w:pStyle w:val="ListNumber"/>
        <w:numPr>
          <w:ilvl w:val="0"/>
          <w:numId w:val="10"/>
        </w:numPr>
      </w:pPr>
      <w:r>
        <w:t>At day end, submit operator collections and confirm the automatic backup completed.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680"/>
            <w:shd w:fill="FFF4CE"/>
            <w:tcBorders>
              <w:left w:val="single" w:sz="12" w:color="B7791F"/>
            </w:tcBorders>
            <w:tcMar>
              <w:top w:w="105" w:type="dxa"/>
              <w:start w:w="150" w:type="dxa"/>
              <w:bottom w:w="105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B7791F"/>
                <w:sz w:val="18"/>
              </w:rPr>
              <w:t>PAYMENT RULE</w:t>
            </w:r>
          </w:p>
          <w:p>
            <w:pPr>
              <w:spacing w:after="0" w:line="259" w:lineRule="auto"/>
            </w:pPr>
            <w:r>
              <w:t>A Bank, UPI or Card selection on an invoice does not post money directly into the bank ledger. The bank ledger changes only when a linked Receipt Voucher is created.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Main System and Client Setup</w:t>
      </w: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99632" cy="40876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main-client-set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4087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40"/>
        <w:jc w:val="center"/>
      </w:pPr>
      <w:r>
        <w:rPr>
          <w:i/>
          <w:color w:val="5B6770"/>
          <w:sz w:val="17"/>
        </w:rPr>
        <w:t>Main System / Client selection and LAN connection setup.</w:t>
      </w:r>
    </w:p>
    <w:p>
      <w:pPr>
        <w:pStyle w:val="ListNumber"/>
        <w:numPr>
          <w:ilvl w:val="0"/>
          <w:numId w:val="11"/>
        </w:numPr>
      </w:pPr>
      <w:r>
        <w:t>On the server computer, choose Main System. Allow Windows Firewall access when prompted.</w:t>
      </w:r>
    </w:p>
    <w:p>
      <w:pPr>
        <w:pStyle w:val="ListNumber"/>
        <w:numPr>
          <w:ilvl w:val="0"/>
          <w:numId w:val="11"/>
        </w:numPr>
      </w:pPr>
      <w:r>
        <w:t>On each counter, choose Client System and enter the Main System LAN IP and port shown by the server.</w:t>
      </w:r>
    </w:p>
    <w:p>
      <w:pPr>
        <w:pStyle w:val="ListNumber"/>
        <w:numPr>
          <w:ilvl w:val="0"/>
          <w:numId w:val="11"/>
        </w:numPr>
      </w:pPr>
      <w:r>
        <w:t>Use Test Connection, then save. A connected client uses the Main System data.</w:t>
      </w:r>
    </w:p>
    <w:p>
      <w:pPr>
        <w:pStyle w:val="ListNumber"/>
        <w:numPr>
          <w:ilvl w:val="0"/>
          <w:numId w:val="11"/>
        </w:numPr>
      </w:pPr>
      <w:r>
        <w:t>Keep the Main System computer on while counters are billing.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680"/>
            <w:shd w:fill="EAF4EA"/>
            <w:tcBorders>
              <w:left w:val="single" w:sz="12" w:color="3B7A3E"/>
            </w:tcBorders>
            <w:tcMar>
              <w:top w:w="105" w:type="dxa"/>
              <w:start w:w="150" w:type="dxa"/>
              <w:bottom w:w="105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3B7A3E"/>
                <w:sz w:val="18"/>
              </w:rPr>
              <w:t>BACKUP OWNERSHIP</w:t>
            </w:r>
          </w:p>
          <w:p>
            <w:pPr>
              <w:spacing w:after="0" w:line="259" w:lineRule="auto"/>
            </w:pPr>
            <w:r>
              <w:t>Configure automatic backups on the Main System. Client counters store only local connection details and offline drafts; they are not the authoritative database.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Dashboard and Navigation</w:t>
      </w: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99632" cy="40876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4087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40"/>
        <w:jc w:val="center"/>
      </w:pPr>
      <w:r>
        <w:rPr>
          <w:i/>
          <w:color w:val="5B6770"/>
          <w:sz w:val="17"/>
        </w:rPr>
        <w:t>Dashboard summary with navigation available from the menu.</w:t>
      </w:r>
    </w:p>
    <w:p>
      <w:pPr>
        <w:pStyle w:val="ListBullet"/>
      </w:pPr>
      <w:r>
        <w:t>Use Dashboard to review sales, collection mix and items needing attention.</w:t>
      </w:r>
    </w:p>
    <w:p>
      <w:pPr>
        <w:pStyle w:val="ListBullet"/>
      </w:pPr>
      <w:r>
        <w:t>Owner screens include accounting, corrections, shift acceptance, backup and update management.</w:t>
      </w:r>
    </w:p>
    <w:p>
      <w:pPr>
        <w:pStyle w:val="ListBullet"/>
      </w:pPr>
      <w:r>
        <w:t>Operator screens focus on billing, permitted receipts and handover reporting.</w:t>
      </w:r>
    </w:p>
    <w:p>
      <w:pPr>
        <w:pStyle w:val="ListBullet"/>
      </w:pPr>
      <w:r>
        <w:t>Use the financial year selector before entering or reviewing older transactions.</w:t>
      </w:r>
    </w:p>
    <w:p>
      <w:r>
        <w:br w:type="page"/>
      </w:r>
    </w:p>
    <w:p>
      <w:pPr>
        <w:pStyle w:val="Heading1"/>
      </w:pPr>
      <w:r>
        <w:t>3. Create a Standard Sale Invoice</w:t>
      </w: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99632" cy="40876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ale-bi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4087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40"/>
        <w:jc w:val="center"/>
      </w:pPr>
      <w:r>
        <w:rPr>
          <w:i/>
          <w:color w:val="5B6770"/>
          <w:sz w:val="17"/>
        </w:rPr>
        <w:t>Sale invoice entry with payment, delivery and per-row description fields.</w:t>
      </w:r>
    </w:p>
    <w:p>
      <w:pPr>
        <w:pStyle w:val="Heading2"/>
      </w:pPr>
      <w:r>
        <w:t>Rates include GST and round off</w:t>
      </w:r>
    </w:p>
    <w:p>
      <w:pPr>
        <w:pStyle w:val="ListBullet"/>
      </w:pPr>
      <w:r>
        <w:t>For a Regular taxpayer, select Incl. GST when the entered item rate already contains GST. Tarangini back-calculates taxable value and tax.</w:t>
      </w:r>
    </w:p>
    <w:p>
      <w:pPr>
        <w:pStyle w:val="ListBullet"/>
      </w:pPr>
      <w:r>
        <w:t>The inclusive-GST control is available on Sale, POS, Project Printing, Purchase, Expense, Credit/Debit Note, Return, Purchase Order and Job Estimate transactions.</w:t>
      </w:r>
    </w:p>
    <w:p>
      <w:pPr>
        <w:pStyle w:val="ListBullet"/>
      </w:pPr>
      <w:r>
        <w:t>Round off final total to nearest rupee is available for every taxpayer type and is enabled by default.</w:t>
      </w:r>
    </w:p>
    <w:p>
      <w:pPr>
        <w:pStyle w:val="ListBullet"/>
      </w:pPr>
      <w:r>
        <w:t>The signed rounding adjustment is stored, printed on the invoice when non-zero and posted to the Rounding Adjustment ledger.</w:t>
      </w:r>
    </w:p>
    <w:p>
      <w:pPr>
        <w:pStyle w:val="ListBullet"/>
      </w:pPr>
      <w:r>
        <w:t>Clear the round-off checkbox only when the exact paise total must be retained.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680"/>
            <w:shd w:fill="EAF4EA"/>
            <w:tcBorders>
              <w:left w:val="single" w:sz="12" w:color="3B7A3E"/>
            </w:tcBorders>
            <w:tcMar>
              <w:top w:w="105" w:type="dxa"/>
              <w:start w:w="150" w:type="dxa"/>
              <w:bottom w:w="105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3B7A3E"/>
                <w:sz w:val="18"/>
              </w:rPr>
              <w:t>EXAMPLE</w:t>
            </w:r>
          </w:p>
          <w:p>
            <w:pPr>
              <w:spacing w:after="0" w:line="259" w:lineRule="auto"/>
            </w:pPr>
            <w:r>
              <w:t>An exclusive rate of Rs. 99.00 with 18% GST totals Rs. 116.82. With round off enabled, the invoice total is Rs. 117.00 and Round Off is Rs. 0.18.</w:t>
            </w:r>
          </w:p>
        </w:tc>
      </w:tr>
    </w:tbl>
    <w:p>
      <w:pPr>
        <w:spacing w:after="0"/>
      </w:pPr>
    </w:p>
    <w:p>
      <w:pPr>
        <w:pStyle w:val="ListNumber"/>
        <w:numPr>
          <w:ilvl w:val="0"/>
          <w:numId w:val="12"/>
        </w:numPr>
      </w:pPr>
      <w:r>
        <w:t>Open Sale Bill and confirm company, voucher series, invoice date and customer.</w:t>
      </w:r>
    </w:p>
    <w:p>
      <w:pPr>
        <w:pStyle w:val="ListNumber"/>
        <w:numPr>
          <w:ilvl w:val="0"/>
          <w:numId w:val="12"/>
        </w:numPr>
      </w:pPr>
      <w:r>
        <w:t>Select Cash, Credit, Bank/UPI/Card or Split as the payment mode.</w:t>
      </w:r>
    </w:p>
    <w:p>
      <w:pPr>
        <w:pStyle w:val="ListNumber"/>
        <w:numPr>
          <w:ilvl w:val="0"/>
          <w:numId w:val="12"/>
        </w:numPr>
      </w:pPr>
      <w:r>
        <w:t>Add items by search, barcode scanner or manual barcode entry.</w:t>
      </w:r>
    </w:p>
    <w:p>
      <w:pPr>
        <w:pStyle w:val="ListNumber"/>
        <w:numPr>
          <w:ilvl w:val="0"/>
          <w:numId w:val="12"/>
        </w:numPr>
      </w:pPr>
      <w:r>
        <w:t>Enter the invoice-row Description / Serial Number. This is separate from Item Master and is saved, printed, edited and duplicated with the invoice.</w:t>
      </w:r>
    </w:p>
    <w:p>
      <w:pPr>
        <w:pStyle w:val="ListNumber"/>
        <w:numPr>
          <w:ilvl w:val="0"/>
          <w:numId w:val="12"/>
        </w:numPr>
      </w:pPr>
      <w:r>
        <w:t>Complete optional Delivery To details: address, recipient, phone, transporter/courier, tracking or LR number and dispatch date.</w:t>
      </w:r>
    </w:p>
    <w:p>
      <w:pPr>
        <w:pStyle w:val="ListNumber"/>
        <w:numPr>
          <w:ilvl w:val="0"/>
          <w:numId w:val="12"/>
        </w:numPr>
      </w:pPr>
      <w:r>
        <w:t>Review tax and totals, then save the invoice.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680"/>
            <w:shd w:fill="EAF2F8"/>
            <w:tcBorders>
              <w:left w:val="single" w:sz="12" w:color="2E74B5"/>
            </w:tcBorders>
            <w:tcMar>
              <w:top w:w="105" w:type="dxa"/>
              <w:start w:w="150" w:type="dxa"/>
              <w:bottom w:w="105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2E74B5"/>
                <w:sz w:val="18"/>
              </w:rPr>
              <w:t>PRINTING</w:t>
            </w:r>
          </w:p>
          <w:p>
            <w:pPr>
              <w:spacing w:after="0" w:line="259" w:lineRule="auto"/>
            </w:pPr>
            <w:r>
              <w:t>The printed invoice shows Bill To and Delivery To separately, includes row descriptions/serial numbers and lists the payment split.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Payments and Linked Receipts</w:t>
      </w: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99632" cy="40876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ayment-receiv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4087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40"/>
        <w:jc w:val="center"/>
      </w:pPr>
      <w:r>
        <w:rPr>
          <w:i/>
          <w:color w:val="5B6770"/>
          <w:sz w:val="17"/>
        </w:rPr>
        <w:t>Payment received prompt shown after saving a non-cash invoice.</w:t>
      </w:r>
    </w:p>
    <w:p>
      <w:pPr>
        <w:pStyle w:val="Heading2"/>
      </w:pPr>
      <w:r>
        <w:t>Bank, UPI and Card</w:t>
      </w:r>
    </w:p>
    <w:p>
      <w:pPr>
        <w:pStyle w:val="ListNumber"/>
        <w:numPr>
          <w:ilvl w:val="0"/>
          <w:numId w:val="13"/>
        </w:numPr>
      </w:pPr>
      <w:r>
        <w:t>Save the invoice with Bank/UPI/Card or a non-cash split portion.</w:t>
      </w:r>
    </w:p>
    <w:p>
      <w:pPr>
        <w:pStyle w:val="ListNumber"/>
        <w:numPr>
          <w:ilvl w:val="0"/>
          <w:numId w:val="13"/>
        </w:numPr>
      </w:pPr>
      <w:r>
        <w:t>At Payment received?, choose Yes only when the payment is actually confirmed.</w:t>
      </w:r>
    </w:p>
    <w:p>
      <w:pPr>
        <w:pStyle w:val="ListNumber"/>
        <w:numPr>
          <w:ilvl w:val="0"/>
          <w:numId w:val="13"/>
        </w:numPr>
      </w:pPr>
      <w:r>
        <w:t>Enter the transaction reference. Tarangini creates a linked Receipt Voucher.</w:t>
      </w:r>
    </w:p>
    <w:p>
      <w:pPr>
        <w:pStyle w:val="ListNumber"/>
        <w:numPr>
          <w:ilvl w:val="0"/>
          <w:numId w:val="13"/>
        </w:numPr>
      </w:pPr>
      <w:r>
        <w:t>Choose No when payment is pending. Match and create the receipt later from the bank statement or receipt workflow.</w:t>
      </w:r>
    </w:p>
    <w:p>
      <w:pPr>
        <w:pStyle w:val="Heading2"/>
      </w:pPr>
      <w:r>
        <w:t>Split payment</w:t>
      </w:r>
    </w:p>
    <w:p>
      <w:pPr>
        <w:pStyle w:val="ListBullet"/>
      </w:pPr>
      <w:r>
        <w:t>Cash portion posts to cash immediately.</w:t>
      </w:r>
    </w:p>
    <w:p>
      <w:pPr>
        <w:pStyle w:val="ListBullet"/>
      </w:pPr>
      <w:r>
        <w:t>Bank, UPI and Card portions remain receivable until linked Receipt Vouchers are created.</w:t>
      </w:r>
    </w:p>
    <w:p>
      <w:pPr>
        <w:pStyle w:val="ListBullet"/>
      </w:pPr>
      <w:r>
        <w:t>Invoice status becomes Paid, Partly Paid, Unpaid or Overdue according to settled value and due date.</w:t>
      </w:r>
    </w:p>
    <w:p>
      <w:pPr>
        <w:pStyle w:val="ListBullet"/>
      </w:pPr>
      <w:r>
        <w:t>An overpayment remains visible for review; never hide it by changing the invoice total.</w:t>
      </w:r>
    </w:p>
    <w:p>
      <w:r>
        <w:br w:type="page"/>
      </w:r>
    </w:p>
    <w:p>
      <w:pPr>
        <w:pStyle w:val="Heading1"/>
      </w:pPr>
      <w:r>
        <w:t>5. POS Counter</w:t>
      </w: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99632" cy="40876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os-coun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4087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40"/>
        <w:jc w:val="center"/>
      </w:pPr>
      <w:r>
        <w:rPr>
          <w:i/>
          <w:color w:val="5B6770"/>
          <w:sz w:val="17"/>
        </w:rPr>
        <w:t>Responsive POS screen for fast counter billing.</w:t>
      </w:r>
    </w:p>
    <w:p>
      <w:pPr>
        <w:pStyle w:val="ListNumber"/>
        <w:numPr>
          <w:ilvl w:val="0"/>
          <w:numId w:val="14"/>
        </w:numPr>
      </w:pPr>
      <w:r>
        <w:t>Search or scan an item, then adjust quantity and the row description/serial number if needed.</w:t>
      </w:r>
    </w:p>
    <w:p>
      <w:pPr>
        <w:pStyle w:val="ListNumber"/>
        <w:numPr>
          <w:ilvl w:val="0"/>
          <w:numId w:val="14"/>
        </w:numPr>
      </w:pPr>
      <w:r>
        <w:t>Select an existing customer or use the permitted cash customer.</w:t>
      </w:r>
    </w:p>
    <w:p>
      <w:pPr>
        <w:pStyle w:val="ListNumber"/>
        <w:numPr>
          <w:ilvl w:val="0"/>
          <w:numId w:val="14"/>
        </w:numPr>
      </w:pPr>
      <w:r>
        <w:t>Choose Cash, Bank/UPI/Card or Split and enter each component accurately.</w:t>
      </w:r>
    </w:p>
    <w:p>
      <w:pPr>
        <w:pStyle w:val="ListNumber"/>
        <w:numPr>
          <w:ilvl w:val="0"/>
          <w:numId w:val="14"/>
        </w:numPr>
      </w:pPr>
      <w:r>
        <w:t>Save, answer the payment-received prompt for non-cash money, and print the invoice.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680"/>
            <w:shd w:fill="EAF2F8"/>
            <w:tcBorders>
              <w:left w:val="single" w:sz="12" w:color="2E74B5"/>
            </w:tcBorders>
            <w:tcMar>
              <w:top w:w="105" w:type="dxa"/>
              <w:start w:w="150" w:type="dxa"/>
              <w:bottom w:w="105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2E74B5"/>
                <w:sz w:val="18"/>
              </w:rPr>
              <w:t>BARCODE USE</w:t>
            </w:r>
          </w:p>
          <w:p>
            <w:pPr>
              <w:spacing w:after="0" w:line="259" w:lineRule="auto"/>
            </w:pPr>
            <w:r>
              <w:t>USB scanners normally act like a keyboard. On supported phones/tablets, the LAN sales portal can use the camera; manual barcode entry remains available.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Invoice Payment Status</w:t>
      </w: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99632" cy="40876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invoice-statu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4087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40"/>
        <w:jc w:val="center"/>
      </w:pPr>
      <w:r>
        <w:rPr>
          <w:i/>
          <w:color w:val="5B6770"/>
          <w:sz w:val="17"/>
        </w:rPr>
        <w:t>Invoice status list showing settlement and outstanding amounts.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728"/>
            <w:shd w:fill="17365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464"/>
            <w:shd w:fill="17365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528"/>
            <w:shd w:fill="17365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Paid</w:t>
            </w:r>
          </w:p>
        </w:tc>
        <w:tc>
          <w:tcPr>
            <w:tcW w:type="dxa" w:w="4464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Linked receipts and cash equal or exceed the invoice total.</w:t>
            </w:r>
          </w:p>
        </w:tc>
        <w:tc>
          <w:tcPr>
            <w:tcW w:type="dxa" w:w="3528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No collection action.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Partly Paid</w:t>
            </w:r>
          </w:p>
        </w:tc>
        <w:tc>
          <w:tcPr>
            <w:tcW w:type="dxa" w:w="4464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Some value is settled; an amount remains receivable.</w:t>
            </w:r>
          </w:p>
        </w:tc>
        <w:tc>
          <w:tcPr>
            <w:tcW w:type="dxa" w:w="3528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Collect balance and create receipt.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Unpaid</w:t>
            </w:r>
          </w:p>
        </w:tc>
        <w:tc>
          <w:tcPr>
            <w:tcW w:type="dxa" w:w="4464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No qualifying settlement has been posted.</w:t>
            </w:r>
          </w:p>
        </w:tc>
        <w:tc>
          <w:tcPr>
            <w:tcW w:type="dxa" w:w="3528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Follow up or keep as credit.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Overdue</w:t>
            </w:r>
          </w:p>
        </w:tc>
        <w:tc>
          <w:tcPr>
            <w:tcW w:type="dxa" w:w="4464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Outstanding value remains after the due date.</w:t>
            </w:r>
          </w:p>
        </w:tc>
        <w:tc>
          <w:tcPr>
            <w:tcW w:type="dxa" w:w="3528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Prioritize collection.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680"/>
            <w:shd w:fill="FFF4CE"/>
            <w:tcBorders>
              <w:left w:val="single" w:sz="12" w:color="B7791F"/>
            </w:tcBorders>
            <w:tcMar>
              <w:top w:w="105" w:type="dxa"/>
              <w:start w:w="150" w:type="dxa"/>
              <w:bottom w:w="105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B7791F"/>
                <w:sz w:val="18"/>
              </w:rPr>
              <w:t>RECONCILIATION</w:t>
            </w:r>
          </w:p>
          <w:p>
            <w:pPr>
              <w:spacing w:after="0" w:line="259" w:lineRule="auto"/>
            </w:pPr>
            <w:r>
              <w:t>Use transaction references to match Receipt Vouchers with the bank statement. The invoice payment mode alone is not evidence that the bank received money.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Invoice Correction Requests</w:t>
      </w: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99632" cy="40876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invoice-correct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4087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40"/>
        <w:jc w:val="center"/>
      </w:pPr>
      <w:r>
        <w:rPr>
          <w:i/>
          <w:color w:val="5B6770"/>
          <w:sz w:val="17"/>
        </w:rPr>
        <w:t>Correction request queue for operator requests and owner decisions.</w:t>
      </w:r>
    </w:p>
    <w:p>
      <w:pPr>
        <w:pStyle w:val="Heading2"/>
      </w:pPr>
      <w:r>
        <w:t>Operator</w:t>
      </w:r>
    </w:p>
    <w:p>
      <w:pPr>
        <w:pStyle w:val="ListNumber"/>
        <w:numPr>
          <w:ilvl w:val="0"/>
          <w:numId w:val="15"/>
        </w:numPr>
      </w:pPr>
      <w:r>
        <w:t>Open the invoice and request removal of the incorrect item or quantity.</w:t>
      </w:r>
    </w:p>
    <w:p>
      <w:pPr>
        <w:pStyle w:val="ListNumber"/>
        <w:numPr>
          <w:ilvl w:val="0"/>
          <w:numId w:val="15"/>
        </w:numPr>
      </w:pPr>
      <w:r>
        <w:t>Enter a clear reason and submit. The original invoice remains in the audit history.</w:t>
      </w:r>
    </w:p>
    <w:p>
      <w:pPr>
        <w:pStyle w:val="Heading2"/>
      </w:pPr>
      <w:r>
        <w:t>Owner</w:t>
      </w:r>
    </w:p>
    <w:p>
      <w:pPr>
        <w:pStyle w:val="ListNumber"/>
        <w:numPr>
          <w:ilvl w:val="0"/>
          <w:numId w:val="16"/>
        </w:numPr>
      </w:pPr>
      <w:r>
        <w:t>Open Invoice Corrections and review invoice, item, quantity, tax and reason.</w:t>
      </w:r>
    </w:p>
    <w:p>
      <w:pPr>
        <w:pStyle w:val="ListNumber"/>
        <w:numPr>
          <w:ilvl w:val="0"/>
          <w:numId w:val="16"/>
        </w:numPr>
      </w:pPr>
      <w:r>
        <w:t>Approve or reject with a note. Approval creates a linked Credit Note.</w:t>
      </w:r>
    </w:p>
    <w:p>
      <w:pPr>
        <w:pStyle w:val="ListNumber"/>
        <w:numPr>
          <w:ilvl w:val="0"/>
          <w:numId w:val="16"/>
        </w:numPr>
      </w:pPr>
      <w:r>
        <w:t>Confirm stock, GST, customer balance and accounting reports reflect the Credit Note.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680"/>
            <w:shd w:fill="FDE9E7"/>
            <w:tcBorders>
              <w:left w:val="single" w:sz="12" w:color="A61B1B"/>
            </w:tcBorders>
            <w:tcMar>
              <w:top w:w="105" w:type="dxa"/>
              <w:start w:w="150" w:type="dxa"/>
              <w:bottom w:w="105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A61B1B"/>
                <w:sz w:val="18"/>
              </w:rPr>
              <w:t>DO NOT DELETE</w:t>
            </w:r>
          </w:p>
          <w:p>
            <w:pPr>
              <w:spacing w:after="0" w:line="259" w:lineRule="auto"/>
            </w:pPr>
            <w:r>
              <w:t>Never erase an issued invoice to correct it. Use the correction request and linked Credit Note so the audit trail remains complete.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Operator Collection and Handover</w:t>
      </w: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99632" cy="40876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hif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4087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40"/>
        <w:jc w:val="center"/>
      </w:pPr>
      <w:r>
        <w:rPr>
          <w:i/>
          <w:color w:val="5B6770"/>
          <w:sz w:val="17"/>
        </w:rPr>
        <w:t>Shift report with collection breakdown and owner acceptance.</w:t>
      </w:r>
    </w:p>
    <w:p>
      <w:pPr>
        <w:pStyle w:val="ListNumber"/>
        <w:numPr>
          <w:ilvl w:val="0"/>
          <w:numId w:val="17"/>
        </w:numPr>
      </w:pPr>
      <w:r>
        <w:t>Select operator, counter, shift and date.</w:t>
      </w:r>
    </w:p>
    <w:p>
      <w:pPr>
        <w:pStyle w:val="ListNumber"/>
        <w:numPr>
          <w:ilvl w:val="0"/>
          <w:numId w:val="17"/>
        </w:numPr>
      </w:pPr>
      <w:r>
        <w:t>Review Cash, Bank, UPI, Card, credit/pending and refunds separately.</w:t>
      </w:r>
    </w:p>
    <w:p>
      <w:pPr>
        <w:pStyle w:val="ListNumber"/>
        <w:numPr>
          <w:ilvl w:val="0"/>
          <w:numId w:val="17"/>
        </w:numPr>
      </w:pPr>
      <w:r>
        <w:t>Enter actual cash handed over. The system calculates expected cash and variance.</w:t>
      </w:r>
    </w:p>
    <w:p>
      <w:pPr>
        <w:pStyle w:val="ListNumber"/>
        <w:numPr>
          <w:ilvl w:val="0"/>
          <w:numId w:val="17"/>
        </w:numPr>
      </w:pPr>
      <w:r>
        <w:t>Include bank references and an operator note, then submit.</w:t>
      </w:r>
    </w:p>
    <w:p>
      <w:pPr>
        <w:pStyle w:val="ListNumber"/>
        <w:numPr>
          <w:ilvl w:val="0"/>
          <w:numId w:val="17"/>
        </w:numPr>
      </w:pPr>
      <w:r>
        <w:t>Owner verifies the money and references, then accepts with date, time and note.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680"/>
            <w:shd w:fill="FFF4CE"/>
            <w:tcBorders>
              <w:left w:val="single" w:sz="12" w:color="B7791F"/>
            </w:tcBorders>
            <w:tcMar>
              <w:top w:w="105" w:type="dxa"/>
              <w:start w:w="150" w:type="dxa"/>
              <w:bottom w:w="105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B7791F"/>
                <w:sz w:val="18"/>
              </w:rPr>
              <w:t>VARIANCE</w:t>
            </w:r>
          </w:p>
          <w:p>
            <w:pPr>
              <w:spacing w:after="0" w:line="259" w:lineRule="auto"/>
            </w:pPr>
            <w:r>
              <w:t>A non-zero variance requires explanation before owner acceptance. Do not change invoice payments merely to force the handover to match.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Backup Strategy</w:t>
      </w:r>
    </w:p>
    <w:p>
      <w:pPr>
        <w:pStyle w:val="Heading2"/>
      </w:pPr>
      <w:r>
        <w:t>Use three layers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520"/>
            <w:shd w:fill="17365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680"/>
            <w:shd w:fill="17365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520"/>
            <w:shd w:fill="17365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Recommended frequency</w:t>
            </w:r>
          </w:p>
        </w:tc>
      </w:tr>
      <w:tr>
        <w:trPr>
          <w:cantSplit/>
        </w:trPr>
        <w:tc>
          <w:tcPr>
            <w:tcW w:type="dxa" w:w="2520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Automatic database copy</w:t>
            </w:r>
          </w:p>
        </w:tc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Fast recovery from computer or database failure.</w:t>
            </w:r>
          </w:p>
        </w:tc>
        <w:tc>
          <w:tcPr>
            <w:tcW w:type="dxa" w:w="2520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Daily; keep in a synced or network folder.</w:t>
            </w:r>
          </w:p>
        </w:tc>
      </w:tr>
      <w:tr>
        <w:trPr>
          <w:cantSplit/>
        </w:trPr>
        <w:tc>
          <w:tcPr>
            <w:tcW w:type="dxa" w:w="2520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Manual JSON export</w:t>
            </w:r>
          </w:p>
        </w:tc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Portable business-data export for migration and audit.</w:t>
            </w:r>
          </w:p>
        </w:tc>
        <w:tc>
          <w:tcPr>
            <w:tcW w:type="dxa" w:w="2520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Weekly and before major data work.</w:t>
            </w:r>
          </w:p>
        </w:tc>
      </w:tr>
      <w:tr>
        <w:trPr>
          <w:cantSplit/>
        </w:trPr>
        <w:tc>
          <w:tcPr>
            <w:tcW w:type="dxa" w:w="2520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Encrypted .tbe backup</w:t>
            </w:r>
          </w:p>
        </w:tc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Complete disaster-recovery copy protected by a password.</w:t>
            </w:r>
          </w:p>
        </w:tc>
        <w:tc>
          <w:tcPr>
            <w:tcW w:type="dxa" w:w="2520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Monthly and before upgrades or migration.</w:t>
            </w:r>
          </w:p>
        </w:tc>
      </w:tr>
    </w:tbl>
    <w:p>
      <w:pPr>
        <w:spacing w:after="0"/>
      </w:pPr>
    </w:p>
    <w:p>
      <w:pPr>
        <w:pStyle w:val="Heading2"/>
      </w:pPr>
      <w:r>
        <w:t>Good backup practice</w:t>
      </w:r>
    </w:p>
    <w:p>
      <w:pPr>
        <w:pStyle w:val="ListBullet"/>
      </w:pPr>
      <w:r>
        <w:t>Keep at least one copy outside the Main System computer.</w:t>
      </w:r>
    </w:p>
    <w:p>
      <w:pPr>
        <w:pStyle w:val="ListBullet"/>
      </w:pPr>
      <w:r>
        <w:t>Use a OneDrive/Google Drive synced folder or a reliable network share for automatic backups.</w:t>
      </w:r>
    </w:p>
    <w:p>
      <w:pPr>
        <w:pStyle w:val="ListBullet"/>
      </w:pPr>
      <w:r>
        <w:t>Keep the encrypted-backup password separately. It cannot be recovered from the backup file.</w:t>
      </w:r>
    </w:p>
    <w:p>
      <w:pPr>
        <w:pStyle w:val="ListBullet"/>
      </w:pPr>
      <w:r>
        <w:t>Test restoration periodically on a spare system or test profile.</w:t>
      </w:r>
    </w:p>
    <w:p>
      <w:pPr>
        <w:pStyle w:val="ListBullet"/>
      </w:pPr>
      <w:r>
        <w:t>Do not upgrade while client counters have pending offline invoices.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680"/>
            <w:shd w:fill="FDE9E7"/>
            <w:tcBorders>
              <w:left w:val="single" w:sz="12" w:color="A61B1B"/>
            </w:tcBorders>
            <w:tcMar>
              <w:top w:w="105" w:type="dxa"/>
              <w:start w:w="150" w:type="dxa"/>
              <w:bottom w:w="105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A61B1B"/>
                <w:sz w:val="18"/>
              </w:rPr>
              <w:t>IMPORTANT</w:t>
            </w:r>
          </w:p>
          <w:p>
            <w:pPr>
              <w:spacing w:after="0" w:line="259" w:lineRule="auto"/>
            </w:pPr>
            <w:r>
              <w:t>A backup stored only on the same disk as the live database does not protect against disk loss, theft or ransomware.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Manual Backup and Restore</w:t>
      </w: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99632" cy="40876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backup-restor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4087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40"/>
        <w:jc w:val="center"/>
      </w:pPr>
      <w:r>
        <w:rPr>
          <w:i/>
          <w:color w:val="5B6770"/>
          <w:sz w:val="17"/>
        </w:rPr>
        <w:t>Backup &amp; Restore tools for JSON export, import and encrypted recovery.</w:t>
      </w:r>
    </w:p>
    <w:p>
      <w:pPr>
        <w:pStyle w:val="Heading2"/>
      </w:pPr>
      <w:r>
        <w:t>Create a JSON backup</w:t>
      </w:r>
    </w:p>
    <w:p>
      <w:pPr>
        <w:pStyle w:val="ListNumber"/>
        <w:numPr>
          <w:ilvl w:val="0"/>
          <w:numId w:val="18"/>
        </w:numPr>
      </w:pPr>
      <w:r>
        <w:t>Open Settings &gt; Backup &amp; Restore.</w:t>
      </w:r>
    </w:p>
    <w:p>
      <w:pPr>
        <w:pStyle w:val="ListNumber"/>
        <w:numPr>
          <w:ilvl w:val="0"/>
          <w:numId w:val="18"/>
        </w:numPr>
      </w:pPr>
      <w:r>
        <w:t>Choose the organization and financial year, or export all data when preparing a full backup.</w:t>
      </w:r>
    </w:p>
    <w:p>
      <w:pPr>
        <w:pStyle w:val="ListNumber"/>
        <w:numPr>
          <w:ilvl w:val="0"/>
          <w:numId w:val="18"/>
        </w:numPr>
      </w:pPr>
      <w:r>
        <w:t>Select Export Backup and store the downloaded JSON file in the approved backup location.</w:t>
      </w:r>
    </w:p>
    <w:p>
      <w:pPr>
        <w:pStyle w:val="Heading2"/>
      </w:pPr>
      <w:r>
        <w:t>Restore or migrate</w:t>
      </w:r>
    </w:p>
    <w:p>
      <w:pPr>
        <w:pStyle w:val="ListBullet"/>
      </w:pPr>
      <w:r>
        <w:t>JSON Import validates the file and merges supported records into the current database.</w:t>
      </w:r>
    </w:p>
    <w:p>
      <w:pPr>
        <w:pStyle w:val="ListBullet"/>
      </w:pPr>
      <w:r>
        <w:t>Encrypted Disaster-Recovery Restore replaces the live database and requires an application restart.</w:t>
      </w:r>
    </w:p>
    <w:p>
      <w:pPr>
        <w:pStyle w:val="ListBullet"/>
      </w:pPr>
      <w:r>
        <w:t>Take a fresh backup before either operation and perform protected restores as Owner/Admin.</w:t>
      </w:r>
    </w:p>
    <w:p>
      <w:r>
        <w:br w:type="page"/>
      </w:r>
    </w:p>
    <w:p>
      <w:pPr>
        <w:pStyle w:val="Heading1"/>
      </w:pPr>
      <w:r>
        <w:t>11. Automatic Backup Settings</w:t>
      </w: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99632" cy="40876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utomatic-backup-setting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4087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40"/>
        <w:jc w:val="center"/>
      </w:pPr>
      <w:r>
        <w:rPr>
          <w:i/>
          <w:color w:val="5B6770"/>
          <w:sz w:val="17"/>
        </w:rPr>
        <w:t>Automatic backup settings. The displayed folder is a documentation test example.</w:t>
      </w:r>
    </w:p>
    <w:p>
      <w:pPr>
        <w:pStyle w:val="ListNumber"/>
        <w:numPr>
          <w:ilvl w:val="0"/>
          <w:numId w:val="19"/>
        </w:numPr>
      </w:pPr>
      <w:r>
        <w:t>Open Settings &gt; Automatic Backup.</w:t>
      </w:r>
    </w:p>
    <w:p>
      <w:pPr>
        <w:pStyle w:val="ListNumber"/>
        <w:numPr>
          <w:ilvl w:val="0"/>
          <w:numId w:val="19"/>
        </w:numPr>
      </w:pPr>
      <w:r>
        <w:t>Enable automatic backup and choose an interval from 1 to 720 hours. Daily is recommended.</w:t>
      </w:r>
    </w:p>
    <w:p>
      <w:pPr>
        <w:pStyle w:val="ListNumber"/>
        <w:numPr>
          <w:ilvl w:val="0"/>
          <w:numId w:val="19"/>
        </w:numPr>
      </w:pPr>
      <w:r>
        <w:t>Choose a local, network or cloud-synced folder writable by the Main System Windows account.</w:t>
      </w:r>
    </w:p>
    <w:p>
      <w:pPr>
        <w:pStyle w:val="ListNumber"/>
        <w:numPr>
          <w:ilvl w:val="0"/>
          <w:numId w:val="19"/>
        </w:numPr>
      </w:pPr>
      <w:r>
        <w:t>Save Settings, then choose Run Backup Now to verify the folder immediately.</w:t>
      </w:r>
    </w:p>
    <w:p>
      <w:pPr>
        <w:pStyle w:val="ListNumber"/>
        <w:numPr>
          <w:ilvl w:val="0"/>
          <w:numId w:val="19"/>
        </w:numPr>
      </w:pPr>
      <w:r>
        <w:t>Open the folder and confirm a tarangini-auto-&lt;date-time&gt;.db file was created.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680"/>
            <w:shd w:fill="FFF4CE"/>
            <w:tcBorders>
              <w:left w:val="single" w:sz="12" w:color="B7791F"/>
            </w:tcBorders>
            <w:tcMar>
              <w:top w:w="105" w:type="dxa"/>
              <w:start w:w="150" w:type="dxa"/>
              <w:bottom w:w="105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B7791F"/>
                <w:sz w:val="18"/>
              </w:rPr>
              <w:t>FOLDER SHOWN ABOVE</w:t>
            </w:r>
          </w:p>
          <w:p>
            <w:pPr>
              <w:spacing w:after="0" w:line="259" w:lineRule="auto"/>
            </w:pPr>
            <w:r>
              <w:t>The screenshot was captured in a documentation test profile. Your installed application uses the location configured on your own Main System.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12. Backup and Data Locations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232"/>
            <w:shd w:fill="17365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4968"/>
            <w:shd w:fill="17365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Default Windows location</w:t>
            </w:r>
          </w:p>
        </w:tc>
        <w:tc>
          <w:tcPr>
            <w:tcW w:type="dxa" w:w="2520"/>
            <w:shd w:fill="17365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Live database</w:t>
            </w:r>
          </w:p>
        </w:tc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%APPDATA%\Tarangini Billing\database\tarangini.db</w:t>
            </w:r>
          </w:p>
        </w:tc>
        <w:tc>
          <w:tcPr>
            <w:tcW w:type="dxa" w:w="2520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Authoritative Main System database.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Automatic backups</w:t>
            </w:r>
          </w:p>
        </w:tc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%APPDATA%\Tarangini Billing\database\backups</w:t>
            </w:r>
          </w:p>
        </w:tc>
        <w:tc>
          <w:tcPr>
            <w:tcW w:type="dxa" w:w="2520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Used when no custom folder is selected.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Pre-upgrade recovery</w:t>
            </w:r>
          </w:p>
        </w:tc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%APPDATA%\Tarangini Billing\database\upgrade-backups</w:t>
            </w:r>
          </w:p>
        </w:tc>
        <w:tc>
          <w:tcPr>
            <w:tcW w:type="dxa" w:w="2520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Created by Update Manager before installation.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Network settings</w:t>
            </w:r>
          </w:p>
        </w:tc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%APPDATA%\Tarangini Billing\network.json</w:t>
            </w:r>
          </w:p>
        </w:tc>
        <w:tc>
          <w:tcPr>
            <w:tcW w:type="dxa" w:w="2520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Main/Client role, host and port.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Client offline drafts</w:t>
            </w:r>
          </w:p>
        </w:tc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%APPDATA%\Tarangini Billing\offline-client</w:t>
            </w:r>
          </w:p>
        </w:tc>
        <w:tc>
          <w:tcPr>
            <w:tcW w:type="dxa" w:w="2520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Pending local drafts and sync queue.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Manual JSON/.tbe</w:t>
            </w:r>
          </w:p>
        </w:tc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Your chosen folder; JSON normally downloads through the browser.</w:t>
            </w:r>
          </w:p>
        </w:tc>
        <w:tc>
          <w:tcPr>
            <w:tcW w:type="dxa" w:w="2520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Move to the approved backup location after export.</w:t>
            </w:r>
          </w:p>
        </w:tc>
      </w:tr>
    </w:tbl>
    <w:p>
      <w:pPr>
        <w:spacing w:after="0"/>
      </w:pPr>
    </w:p>
    <w:p>
      <w:pPr>
        <w:pStyle w:val="Heading2"/>
      </w:pPr>
      <w:r>
        <w:t>Open the location</w:t>
      </w:r>
    </w:p>
    <w:p>
      <w:pPr>
        <w:pStyle w:val="ListNumber"/>
        <w:numPr>
          <w:ilvl w:val="0"/>
          <w:numId w:val="20"/>
        </w:numPr>
      </w:pPr>
      <w:r>
        <w:t>Press Windows + R.</w:t>
      </w:r>
    </w:p>
    <w:p>
      <w:pPr>
        <w:pStyle w:val="ListNumber"/>
        <w:numPr>
          <w:ilvl w:val="0"/>
          <w:numId w:val="20"/>
        </w:numPr>
      </w:pPr>
      <w:r>
        <w:t>Enter %APPDATA%\Tarangini Billing and press Enter.</w:t>
      </w:r>
    </w:p>
    <w:p>
      <w:pPr>
        <w:pStyle w:val="ListNumber"/>
        <w:numPr>
          <w:ilvl w:val="0"/>
          <w:numId w:val="20"/>
        </w:numPr>
      </w:pPr>
      <w:r>
        <w:t>Open database for the live DB, backups and upgrade-backups folders.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680"/>
            <w:shd w:fill="EAF4EA"/>
            <w:tcBorders>
              <w:left w:val="single" w:sz="12" w:color="3B7A3E"/>
            </w:tcBorders>
            <w:tcMar>
              <w:top w:w="105" w:type="dxa"/>
              <w:start w:w="150" w:type="dxa"/>
              <w:bottom w:w="105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3B7A3E"/>
                <w:sz w:val="18"/>
              </w:rPr>
              <w:t>RECOMMENDED CUSTOM LOCATION</w:t>
            </w:r>
          </w:p>
          <w:p>
            <w:pPr>
              <w:spacing w:after="0" w:line="259" w:lineRule="auto"/>
            </w:pPr>
            <w:r>
              <w:t>Example: D:\Tarangini Backups or a synced folder such as C:\Users\&lt;user&gt;\OneDrive\Tarangini Backups. Confirm the folder actually synchronizes and has sufficient free space.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13. Update Manager</w:t>
      </w: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99632" cy="40876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update-manag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4087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40"/>
        <w:jc w:val="center"/>
      </w:pPr>
      <w:r>
        <w:rPr>
          <w:i/>
          <w:color w:val="5B6770"/>
          <w:sz w:val="17"/>
        </w:rPr>
        <w:t>Update Manager showing installed and available package information.</w:t>
      </w:r>
    </w:p>
    <w:p>
      <w:pPr>
        <w:pStyle w:val="ListNumber"/>
        <w:numPr>
          <w:ilvl w:val="0"/>
          <w:numId w:val="21"/>
        </w:numPr>
      </w:pPr>
      <w:r>
        <w:t>Confirm all client counters are connected and pending offline invoices are zero.</w:t>
      </w:r>
    </w:p>
    <w:p>
      <w:pPr>
        <w:pStyle w:val="ListNumber"/>
        <w:numPr>
          <w:ilvl w:val="0"/>
          <w:numId w:val="21"/>
        </w:numPr>
      </w:pPr>
      <w:r>
        <w:t>Create and verify a fresh backup.</w:t>
      </w:r>
    </w:p>
    <w:p>
      <w:pPr>
        <w:pStyle w:val="ListNumber"/>
        <w:numPr>
          <w:ilvl w:val="0"/>
          <w:numId w:val="21"/>
        </w:numPr>
      </w:pPr>
      <w:r>
        <w:t>Open Update Manager and compare Current Version with Latest Version.</w:t>
      </w:r>
    </w:p>
    <w:p>
      <w:pPr>
        <w:pStyle w:val="ListNumber"/>
        <w:numPr>
          <w:ilvl w:val="0"/>
          <w:numId w:val="21"/>
        </w:numPr>
      </w:pPr>
      <w:r>
        <w:t>Download from the Main System LAN distribution source. Tarangini verifies the SHA-256 checksum.</w:t>
      </w:r>
    </w:p>
    <w:p>
      <w:pPr>
        <w:pStyle w:val="ListNumber"/>
        <w:numPr>
          <w:ilvl w:val="0"/>
          <w:numId w:val="21"/>
        </w:numPr>
      </w:pPr>
      <w:r>
        <w:t>Install only after verification succeeds. The updater preserves the database, client code, server IP and pending sync state.</w:t>
      </w:r>
    </w:p>
    <w:p>
      <w:pPr>
        <w:pStyle w:val="ListNumber"/>
        <w:numPr>
          <w:ilvl w:val="0"/>
          <w:numId w:val="21"/>
        </w:numPr>
      </w:pPr>
      <w:r>
        <w:t>After restart, verify the version, open Dashboard and test one read-only report before normal billing.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680"/>
            <w:shd w:fill="FDE9E7"/>
            <w:tcBorders>
              <w:left w:val="single" w:sz="12" w:color="A61B1B"/>
            </w:tcBorders>
            <w:tcMar>
              <w:top w:w="105" w:type="dxa"/>
              <w:start w:w="150" w:type="dxa"/>
              <w:bottom w:w="105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A61B1B"/>
                <w:sz w:val="18"/>
              </w:rPr>
              <w:t>UNSAFE UPGRADE BLOCK</w:t>
            </w:r>
          </w:p>
          <w:p>
            <w:pPr>
              <w:spacing w:after="0" w:line="259" w:lineRule="auto"/>
            </w:pPr>
            <w:r>
              <w:t>The update must be postponed when offline invoices are pending. Sync them first so the server and clients do not diverge.</w:t>
            </w:r>
          </w:p>
        </w:tc>
      </w:tr>
    </w:tbl>
    <w:p>
      <w:pPr>
        <w:spacing w:after="0"/>
      </w:pPr>
    </w:p>
    <w:p>
      <w:pPr>
        <w:pStyle w:val="Heading2"/>
      </w:pPr>
      <w:r>
        <w:t>HTTPS-ready web deployment</w:t>
      </w:r>
    </w:p>
    <w:p>
      <w:pPr>
        <w:pStyle w:val="ListBullet"/>
      </w:pPr>
      <w:r>
        <w:t>For internet or cloud testing, place Tarangini behind a trusted HTTPS reverse proxy, or configure its PEM/PFX certificate environment variables.</w:t>
      </w:r>
    </w:p>
    <w:p>
      <w:pPr>
        <w:pStyle w:val="ListBullet"/>
      </w:pPr>
      <w:r>
        <w:t>Camera barcode access and PWA installation on phones require HTTPS, except on localhost.</w:t>
      </w:r>
    </w:p>
    <w:p>
      <w:pPr>
        <w:pStyle w:val="ListBullet"/>
      </w:pPr>
      <w:r>
        <w:t>Keep the database and automatic backup folder on persistent storage and restrict CORS to approved origins.</w:t>
      </w:r>
    </w:p>
    <w:p>
      <w:pPr>
        <w:pStyle w:val="ListBullet"/>
      </w:pPr>
      <w:r>
        <w:t>Do not expose the application directly to the public internet with recovery passwords unchanged.</w:t>
      </w:r>
    </w:p>
    <w:p>
      <w:r>
        <w:br w:type="page"/>
      </w:r>
    </w:p>
    <w:p>
      <w:pPr>
        <w:pStyle w:val="Heading1"/>
      </w:pPr>
      <w:r>
        <w:t>14. Mobile Sales and Offline Sync</w:t>
      </w:r>
    </w:p>
    <w:p>
      <w:pPr>
        <w:pStyle w:val="Heading2"/>
      </w:pPr>
      <w:r>
        <w:t>LAN mobile portal</w:t>
      </w:r>
    </w:p>
    <w:p>
      <w:pPr>
        <w:pStyle w:val="ListBullet"/>
      </w:pPr>
      <w:r>
        <w:t>Connect the phone/tablet to the same trusted LAN or Wi-Fi as the Main System.</w:t>
      </w:r>
    </w:p>
    <w:p>
      <w:pPr>
        <w:pStyle w:val="ListBullet"/>
      </w:pPr>
      <w:r>
        <w:t>Open the Main System LAN address supplied by the administrator.</w:t>
      </w:r>
    </w:p>
    <w:p>
      <w:pPr>
        <w:pStyle w:val="ListBullet"/>
      </w:pPr>
      <w:r>
        <w:t>Sign in with the assigned role. Search/browse items, select customer and create Cash, Bank or Split bills.</w:t>
      </w:r>
    </w:p>
    <w:p>
      <w:pPr>
        <w:pStyle w:val="ListBullet"/>
      </w:pPr>
      <w:r>
        <w:t>Use camera barcode scanning when the browser permits it; otherwise use manual entry or a paired scanner.</w:t>
      </w:r>
    </w:p>
    <w:p>
      <w:pPr>
        <w:pStyle w:val="ListBullet"/>
      </w:pPr>
      <w:r>
        <w:t>The same payment and audit rules apply as on desktop.</w:t>
      </w:r>
    </w:p>
    <w:p>
      <w:pPr>
        <w:pStyle w:val="Heading2"/>
      </w:pPr>
      <w:r>
        <w:t>Offline drafts</w:t>
      </w:r>
    </w:p>
    <w:p>
      <w:pPr>
        <w:pStyle w:val="ListBullet"/>
      </w:pPr>
      <w:r>
        <w:t>Offline mode is for temporary connection loss, not routine operation.</w:t>
      </w:r>
    </w:p>
    <w:p>
      <w:pPr>
        <w:pStyle w:val="ListBullet"/>
      </w:pPr>
      <w:r>
        <w:t>A pending draft must remain visible until the Main System confirms sync.</w:t>
      </w:r>
    </w:p>
    <w:p>
      <w:pPr>
        <w:pStyle w:val="ListBullet"/>
      </w:pPr>
      <w:r>
        <w:t>Do not uninstall, clear application data, change server identity or install an update while drafts are pending.</w:t>
      </w:r>
    </w:p>
    <w:p>
      <w:pPr>
        <w:pStyle w:val="ListBullet"/>
      </w:pPr>
      <w:r>
        <w:t>After reconnection, run sync and verify the invoice appears on the Main System.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680"/>
            <w:shd w:fill="FFF4CE"/>
            <w:tcBorders>
              <w:left w:val="single" w:sz="12" w:color="B7791F"/>
            </w:tcBorders>
            <w:tcMar>
              <w:top w:w="105" w:type="dxa"/>
              <w:start w:w="150" w:type="dxa"/>
              <w:bottom w:w="105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B7791F"/>
                <w:sz w:val="18"/>
              </w:rPr>
              <w:t>CLIENT MISMATCH</w:t>
            </w:r>
          </w:p>
          <w:p>
            <w:pPr>
              <w:spacing w:after="0" w:line="259" w:lineRule="auto"/>
            </w:pPr>
            <w:r>
              <w:t>When a client-version mismatch warning appears, stop new billing on that client, finish or sync pending drafts, then update it from the Main System package.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15. Daily Controls and Troubleshooting</w:t>
      </w:r>
    </w:p>
    <w:p>
      <w:pPr>
        <w:pStyle w:val="Heading2"/>
      </w:pPr>
      <w:r>
        <w:t>Day-end checklist</w:t>
      </w:r>
    </w:p>
    <w:p>
      <w:pPr>
        <w:pStyle w:val="ListBullet"/>
      </w:pPr>
      <w:r>
        <w:t>All invoices show the expected Paid, Partly Paid, Unpaid or Overdue status.</w:t>
      </w:r>
    </w:p>
    <w:p>
      <w:pPr>
        <w:pStyle w:val="ListBullet"/>
      </w:pPr>
      <w:r>
        <w:t>Bank/UPI/Card receipts have transaction references and match the statement or terminal report.</w:t>
      </w:r>
    </w:p>
    <w:p>
      <w:pPr>
        <w:pStyle w:val="ListBullet"/>
      </w:pPr>
      <w:r>
        <w:t>Operator handover is submitted; owner acceptance and variance note are recorded.</w:t>
      </w:r>
    </w:p>
    <w:p>
      <w:pPr>
        <w:pStyle w:val="ListBullet"/>
      </w:pPr>
      <w:r>
        <w:t>Client offline queues are empty.</w:t>
      </w:r>
    </w:p>
    <w:p>
      <w:pPr>
        <w:pStyle w:val="ListBullet"/>
      </w:pPr>
      <w:r>
        <w:t>Today’s automatic backup file exists outside the live database folder when possible.</w:t>
      </w:r>
    </w:p>
    <w:p>
      <w:pPr>
        <w:pStyle w:val="Heading2"/>
      </w:pPr>
      <w:r>
        <w:t>Common problems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160"/>
            <w:shd w:fill="17365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3744"/>
            <w:shd w:fill="17365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Check first</w:t>
            </w:r>
          </w:p>
        </w:tc>
        <w:tc>
          <w:tcPr>
            <w:tcW w:type="dxa" w:w="3816"/>
            <w:shd w:fill="17365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Resolution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Client cannot connect</w:t>
            </w:r>
          </w:p>
        </w:tc>
        <w:tc>
          <w:tcPr>
            <w:tcW w:type="dxa" w:w="3744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Main System running, same LAN, correct IP/port, firewall.</w:t>
            </w:r>
          </w:p>
        </w:tc>
        <w:tc>
          <w:tcPr>
            <w:tcW w:type="dxa" w:w="3816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Use Test Connection and correct network settings.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Bank balance did not change</w:t>
            </w:r>
          </w:p>
        </w:tc>
        <w:tc>
          <w:tcPr>
            <w:tcW w:type="dxa" w:w="3744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Is there a linked Receipt Voucher?</w:t>
            </w:r>
          </w:p>
        </w:tc>
        <w:tc>
          <w:tcPr>
            <w:tcW w:type="dxa" w:w="3816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Create/match the receipt with transaction reference.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Automatic backup missing</w:t>
            </w:r>
          </w:p>
        </w:tc>
        <w:tc>
          <w:tcPr>
            <w:tcW w:type="dxa" w:w="3744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Enabled, interval, path exists, write permission.</w:t>
            </w:r>
          </w:p>
        </w:tc>
        <w:tc>
          <w:tcPr>
            <w:tcW w:type="dxa" w:w="3816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Run Backup Now and correct the destination.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Restore rejected</w:t>
            </w:r>
          </w:p>
        </w:tc>
        <w:tc>
          <w:tcPr>
            <w:tcW w:type="dxa" w:w="3744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Correct file type, password and organization/year.</w:t>
            </w:r>
          </w:p>
        </w:tc>
        <w:tc>
          <w:tcPr>
            <w:tcW w:type="dxa" w:w="3816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Use a valid backup and Owner/Admin access.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Update blocked</w:t>
            </w:r>
          </w:p>
        </w:tc>
        <w:tc>
          <w:tcPr>
            <w:tcW w:type="dxa" w:w="3744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Pending offline drafts or failed checksum.</w:t>
            </w:r>
          </w:p>
        </w:tc>
        <w:tc>
          <w:tcPr>
            <w:tcW w:type="dxa" w:w="3816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Sync first; re-download a verified package.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680"/>
            <w:shd w:fill="EAF2F8"/>
            <w:tcBorders>
              <w:left w:val="single" w:sz="12" w:color="2E74B5"/>
            </w:tcBorders>
            <w:tcMar>
              <w:top w:w="105" w:type="dxa"/>
              <w:start w:w="150" w:type="dxa"/>
              <w:bottom w:w="105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2E74B5"/>
                <w:sz w:val="18"/>
              </w:rPr>
              <w:t>BEFORE SUPPORT</w:t>
            </w:r>
          </w:p>
          <w:p>
            <w:pPr>
              <w:spacing w:after="0" w:line="259" w:lineRule="auto"/>
            </w:pPr>
            <w:r>
              <w:t>Record the exact error, current version, Main/Client role, organization, financial year and the time the issue occurred. Do not send passwords or unencrypted customer data.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Quick Reference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160"/>
            <w:shd w:fill="17365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816"/>
            <w:shd w:fill="17365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Menu / screen</w:t>
            </w:r>
          </w:p>
        </w:tc>
        <w:tc>
          <w:tcPr>
            <w:tcW w:type="dxa" w:w="3744"/>
            <w:shd w:fill="17365D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Key rule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Create invoice</w:t>
            </w:r>
          </w:p>
        </w:tc>
        <w:tc>
          <w:tcPr>
            <w:tcW w:type="dxa" w:w="3816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Sale Bill or POS</w:t>
            </w:r>
          </w:p>
        </w:tc>
        <w:tc>
          <w:tcPr>
            <w:tcW w:type="dxa" w:w="3744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Enter row description/serial and correct payment split.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Record bank money</w:t>
            </w:r>
          </w:p>
        </w:tc>
        <w:tc>
          <w:tcPr>
            <w:tcW w:type="dxa" w:w="3816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Payment prompt / Receipt Voucher</w:t>
            </w:r>
          </w:p>
        </w:tc>
        <w:tc>
          <w:tcPr>
            <w:tcW w:type="dxa" w:w="3744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Bank posts only through linked receipt.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Correct invoice</w:t>
            </w:r>
          </w:p>
        </w:tc>
        <w:tc>
          <w:tcPr>
            <w:tcW w:type="dxa" w:w="3816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Invoice Corrections</w:t>
            </w:r>
          </w:p>
        </w:tc>
        <w:tc>
          <w:tcPr>
            <w:tcW w:type="dxa" w:w="3744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Owner approval creates Credit Note.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Close shift</w:t>
            </w:r>
          </w:p>
        </w:tc>
        <w:tc>
          <w:tcPr>
            <w:tcW w:type="dxa" w:w="3816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Operator Collections / Shifts</w:t>
            </w:r>
          </w:p>
        </w:tc>
        <w:tc>
          <w:tcPr>
            <w:tcW w:type="dxa" w:w="3744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Explain cash variance; owner accepts.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Backup now</w:t>
            </w:r>
          </w:p>
        </w:tc>
        <w:tc>
          <w:tcPr>
            <w:tcW w:type="dxa" w:w="3816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Settings &gt; Automatic Backup</w:t>
            </w:r>
          </w:p>
        </w:tc>
        <w:tc>
          <w:tcPr>
            <w:tcW w:type="dxa" w:w="3744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Run Backup Now and verify the file.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Export data</w:t>
            </w:r>
          </w:p>
        </w:tc>
        <w:tc>
          <w:tcPr>
            <w:tcW w:type="dxa" w:w="3816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Settings &gt; Backup &amp; Restore</w:t>
            </w:r>
          </w:p>
        </w:tc>
        <w:tc>
          <w:tcPr>
            <w:tcW w:type="dxa" w:w="3744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sz w:val="18"/>
              </w:rPr>
              <w:t>Store JSON/.tbe outside the Main System disk.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Upgrade</w:t>
            </w:r>
          </w:p>
        </w:tc>
        <w:tc>
          <w:tcPr>
            <w:tcW w:type="dxa" w:w="3816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Update Manager</w:t>
            </w:r>
          </w:p>
        </w:tc>
        <w:tc>
          <w:tcPr>
            <w:tcW w:type="dxa" w:w="3744"/>
            <w:tcMar>
              <w:top w:w="10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  <w:t>Backup, sync all drafts, verify SHA-256.</w:t>
            </w:r>
          </w:p>
        </w:tc>
      </w:tr>
    </w:tbl>
    <w:p>
      <w:pPr>
        <w:spacing w:after="0"/>
      </w:pPr>
    </w:p>
    <w:p/>
    <w:p>
      <w:pPr>
        <w:spacing w:before="360"/>
        <w:jc w:val="center"/>
      </w:pPr>
      <w:r>
        <w:rPr>
          <w:b/>
          <w:color w:val="17365D"/>
          <w:sz w:val="22"/>
        </w:rPr>
        <w:t>END OF MANUAL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770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770"/>
        <w:sz w:val="16"/>
      </w:rPr>
      <w:t>TARANGINI WORKFLOW SUITE 1.1.6  |  VISUAL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 w:val="0"/>
      <w:i/>
      <w:iCs/>
      <w:color w:val="5B677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31" w:hanging="23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403" w:hanging="288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