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Adapter-Based Flow Architecture (POC)</w:t>
      </w:r>
    </w:p>
    <w:p>
      <w:r>
        <w:t>This document defines the adapter-based architecture used in the POC system. The objective is to ensure modularity, scalability, and safe evolution of rules, logic, and human oversight.</w:t>
      </w:r>
    </w:p>
    <w:p>
      <w:pPr>
        <w:pStyle w:val="Heading2"/>
      </w:pPr>
      <w:r>
        <w:t>High-Level Flow</w:t>
      </w:r>
    </w:p>
    <w:p>
      <w:r>
        <w:t>RSS Event → ExecutionContext → EventTypeAdapter → IntentAdapter → OutputAdapter → ClarityAdapter → HITLDecisionAdapter → LoggerAdapter</w:t>
      </w:r>
    </w:p>
    <w:p>
      <w:pPr>
        <w:pStyle w:val="Heading2"/>
      </w:pPr>
      <w:r>
        <w:t>ExecutionContext</w:t>
      </w:r>
    </w:p>
    <w:p>
      <w:r>
        <w:t>ExecutionContext is the shared object passed across all adapters. Each adapter reads and writes only to its assigned section.</w:t>
      </w:r>
    </w:p>
    <w:p>
      <w:pPr>
        <w:pStyle w:val="Heading2"/>
      </w:pPr>
      <w:r>
        <w:t>Adapter Contract</w:t>
      </w:r>
    </w:p>
    <w:p>
      <w:r>
        <w:t>Every adapter exposes: name, version, input_keys, output_keys, and a run(event, context) method. Adapters never control execution 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