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HITL Adapter Interface (POC)</w:t>
      </w:r>
    </w:p>
    <w:p>
      <w:r>
        <w:t>The HITL Adapter determines whether a generated output requires human review. It is rule-driven, temporary, and designed to disappear once rules stabilize.</w:t>
      </w:r>
    </w:p>
    <w:p>
      <w:pPr>
        <w:pStyle w:val="Heading2"/>
      </w:pPr>
      <w:r>
        <w:t>Key Principle</w:t>
      </w:r>
    </w:p>
    <w:p>
      <w:r>
        <w:t>Humans define rules. The system decides when to ask humans.</w:t>
      </w:r>
    </w:p>
    <w:p>
      <w:pPr>
        <w:pStyle w:val="Heading2"/>
      </w:pPr>
      <w:r>
        <w:t>Responsibilities</w:t>
      </w:r>
    </w:p>
    <w:p>
      <w:r>
        <w:t>The HITL adapter sets hitl.required and hitl.reasons based on risk, ambiguity, and rule violations. It never edits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