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5324B"/>
          <w:sz w:val="64"/>
        </w:rPr>
        <w:t>SECRETHUNTER</w:t>
      </w:r>
    </w:p>
    <w:p>
      <w:pPr>
        <w:jc w:val="center"/>
      </w:pPr>
      <w:r>
        <w:rPr>
          <w:b/>
          <w:color w:val="176B87"/>
          <w:sz w:val="32"/>
        </w:rPr>
        <w:t>Automated Secret &amp; Credential Leak Detector</w:t>
      </w:r>
    </w:p>
    <w:p>
      <w:pPr>
        <w:spacing w:before="320"/>
        <w:jc w:val="center"/>
      </w:pPr>
      <w:r>
        <w:rPr>
          <w:b/>
          <w:color w:val="475569"/>
          <w:sz w:val="24"/>
        </w:rPr>
        <w:t>COMPREHENSIVE PROJECT REPORT</w:t>
      </w:r>
    </w:p>
    <w:p/>
    <w:tbl>
      <w:tblPr>
        <w:tblStyle w:val="TableGrid"/>
        <w:tblW w:type="auto" w:w="0"/>
        <w:tblLook w:firstColumn="1" w:firstRow="1" w:lastColumn="0" w:lastRow="0" w:noHBand="0" w:noVBand="1" w:val="04A0"/>
      </w:tblPr>
      <w:tblGrid>
        <w:gridCol w:w="4896"/>
        <w:gridCol w:w="4896"/>
      </w:tblGrid>
      <w:tr>
        <w:tc>
          <w:tcPr>
            <w:tcW w:type="dxa" w:w="4896"/>
            <w:shd w:fill="15324B"/>
          </w:tcPr>
          <w:p>
            <w:r>
              <w:rPr>
                <w:b/>
                <w:color w:val="FFFFFF"/>
                <w:sz w:val="18"/>
              </w:rPr>
              <w:t>Project Detail</w:t>
            </w:r>
          </w:p>
        </w:tc>
        <w:tc>
          <w:tcPr>
            <w:tcW w:type="dxa" w:w="4896"/>
            <w:shd w:fill="15324B"/>
          </w:tcPr>
          <w:p>
            <w:r>
              <w:rPr>
                <w:b/>
                <w:color w:val="FFFFFF"/>
                <w:sz w:val="18"/>
              </w:rPr>
              <w:t>Information</w:t>
            </w:r>
          </w:p>
        </w:tc>
      </w:tr>
      <w:tr>
        <w:tc>
          <w:tcPr>
            <w:tcW w:type="dxa" w:w="4896"/>
          </w:tcPr>
          <w:p>
            <w:pPr>
              <w:spacing w:after="40"/>
            </w:pPr>
            <w:r>
              <w:rPr>
                <w:sz w:val="18"/>
              </w:rPr>
              <w:t>Name</w:t>
            </w:r>
          </w:p>
        </w:tc>
        <w:tc>
          <w:tcPr>
            <w:tcW w:type="dxa" w:w="4896"/>
          </w:tcPr>
          <w:p>
            <w:pPr>
              <w:spacing w:after="40"/>
            </w:pPr>
            <w:r>
              <w:rPr>
                <w:sz w:val="18"/>
              </w:rPr>
              <w:t>Ravikant Kumar</w:t>
            </w:r>
          </w:p>
        </w:tc>
      </w:tr>
      <w:tr>
        <w:tc>
          <w:tcPr>
            <w:tcW w:type="dxa" w:w="4896"/>
            <w:shd w:fill="F1F5F9"/>
          </w:tcPr>
          <w:p>
            <w:pPr>
              <w:spacing w:after="40"/>
            </w:pPr>
            <w:r>
              <w:rPr>
                <w:sz w:val="18"/>
              </w:rPr>
              <w:t>PRN Number</w:t>
            </w:r>
          </w:p>
        </w:tc>
        <w:tc>
          <w:tcPr>
            <w:tcW w:type="dxa" w:w="4896"/>
            <w:shd w:fill="F1F5F9"/>
          </w:tcPr>
          <w:p>
            <w:pPr>
              <w:spacing w:after="40"/>
            </w:pPr>
            <w:r>
              <w:rPr>
                <w:sz w:val="18"/>
              </w:rPr>
              <w:t>2602051310044</w:t>
            </w:r>
          </w:p>
        </w:tc>
      </w:tr>
      <w:tr>
        <w:tc>
          <w:tcPr>
            <w:tcW w:type="dxa" w:w="4896"/>
          </w:tcPr>
          <w:p>
            <w:pPr>
              <w:spacing w:after="40"/>
            </w:pPr>
            <w:r>
              <w:rPr>
                <w:sz w:val="18"/>
              </w:rPr>
              <w:t>Institute Full Name</w:t>
            </w:r>
          </w:p>
        </w:tc>
        <w:tc>
          <w:tcPr>
            <w:tcW w:type="dxa" w:w="4896"/>
          </w:tcPr>
          <w:p>
            <w:pPr>
              <w:spacing w:after="40"/>
            </w:pPr>
            <w:r>
              <w:rPr>
                <w:sz w:val="18"/>
              </w:rPr>
              <w:t>Sandip University, Sijoul (Madhubani)</w:t>
            </w:r>
          </w:p>
        </w:tc>
      </w:tr>
    </w:tbl>
    <w:p/>
    <w:p>
      <w:r>
        <w:br w:type="page"/>
      </w:r>
    </w:p>
    <w:p>
      <w:pPr>
        <w:pStyle w:val="Heading1"/>
      </w:pPr>
      <w:r>
        <w:t>1. Executive Summary / Abstract</w:t>
      </w:r>
    </w:p>
    <w:p>
      <w:r>
        <w:t>Hardcoded secrets, API tokens, database connection strings, and private cryptographic keys represent one of the most pervasive root causes of security incidents, cloud infrastructure breaches, and data exfiltration. According to industry reports, millions of valid API credentials are accidentally pushed to public and private Git repositories each year.</w:t>
      </w:r>
    </w:p>
    <w:p>
      <w:r>
        <w:t>SecretHunter is a Static Application Security Testing (SAST) credential detection utility developed in Python using Streamlit. It integrates deterministic regular expression matching with probabilistic Shannon Entropy calculations to detect sensitive keys across multiple languages, files, and repositories. Additionally, it implements defensive redaction, severity tiering, and provides actionable remediation playbooks with exportable audit logs.</w:t>
      </w:r>
    </w:p>
    <w:p>
      <w:pPr>
        <w:pStyle w:val="Heading1"/>
      </w:pPr>
      <w:r>
        <w:t>2. Problem Statement</w:t>
      </w:r>
    </w:p>
    <w:p>
      <w:pPr>
        <w:pStyle w:val="ListNumber"/>
      </w:pPr>
      <w:r>
        <w:t>Accidental Commit of Credentials: Developers frequently hardcode secrets during local prototyping and accidentally push .env files or hardcoded constants to repositories.</w:t>
      </w:r>
    </w:p>
    <w:p>
      <w:pPr>
        <w:pStyle w:val="ListNumber"/>
      </w:pPr>
      <w:r>
        <w:t>Bot-Driven Exploitation Speed: Threat actors maintain automated bot nets that crawl commits within seconds of publication, immediately provisioning malicious compute resources or draining payment APIs.</w:t>
      </w:r>
    </w:p>
    <w:p>
      <w:pPr>
        <w:pStyle w:val="ListNumber"/>
      </w:pPr>
      <w:r>
        <w:t>Lack of Automated Pre-Commit Visibility: Without lightweight, intuitive scanning tools, developers lack immediate feedback before code merges.</w:t>
      </w:r>
    </w:p>
    <w:p>
      <w:pPr>
        <w:pStyle w:val="ListNumber"/>
      </w:pPr>
      <w:r>
        <w:t>False Positive &amp; Obfuscation Challenges: Simple keyword searches either miss high-entropy random keys or overwhelm analysts with false positives.</w:t>
      </w:r>
    </w:p>
    <w:p>
      <w:pPr>
        <w:pStyle w:val="Heading1"/>
      </w:pPr>
      <w:r>
        <w:t>3. Objectives</w:t>
      </w:r>
    </w:p>
    <w:p>
      <w:pPr>
        <w:pStyle w:val="ListBullet"/>
      </w:pPr>
      <w:r>
        <w:t>Broad Pattern Detection: Recognize high-risk credentials across major cloud vendors (AWS, Google Cloud), version control systems (GitHub Classic &amp; Fine-grained), AI services (OpenAI), payment processors (Stripe), databases (MongoDB, PostgreSQL), and communication channels (Slack, Discord).</w:t>
      </w:r>
    </w:p>
    <w:p>
      <w:pPr>
        <w:pStyle w:val="ListBullet"/>
      </w:pPr>
      <w:r>
        <w:t>Shannon Entropy Analysis: Distinguish between predictable variable names and high-entropy secret tokens.</w:t>
      </w:r>
    </w:p>
    <w:p>
      <w:pPr>
        <w:pStyle w:val="ListBullet"/>
      </w:pPr>
      <w:r>
        <w:t>Defensive UI Redaction: Ensure uncovered credentials are never rendered in cleartext during review sessions.</w:t>
      </w:r>
    </w:p>
    <w:p>
      <w:pPr>
        <w:pStyle w:val="ListBullet"/>
      </w:pPr>
      <w:r>
        <w:t>Actionable Remediation: Provide concrete remediation steps including git history purging (git-filter-repo) and cloud provider revocation guidance.</w:t>
      </w:r>
    </w:p>
    <w:p>
      <w:pPr>
        <w:pStyle w:val="ListBullet"/>
      </w:pPr>
      <w:r>
        <w:t>Audit Exportability: Produce standardized JSON and Markdown compliance reports.</w:t>
      </w:r>
    </w:p>
    <w:p>
      <w:pPr>
        <w:pStyle w:val="Heading1"/>
      </w:pPr>
      <w:r>
        <w:t>4. System Architecture &amp; Methodology</w:t>
      </w:r>
    </w:p>
    <w:p>
      <w:pPr>
        <w:pStyle w:val="Heading2"/>
      </w:pPr>
      <w:r>
        <w:t>4.1 Architecture Diagram</w:t>
      </w:r>
    </w:p>
    <w:p>
      <w:pPr>
        <w:ind w:left="360"/>
      </w:pPr>
      <w:r>
        <w:rPr>
          <w:rFonts w:ascii="Consolas" w:hAnsi="Consolas"/>
          <w:color w:val="334155"/>
          <w:sz w:val="16"/>
        </w:rPr>
        <w:t>+-------------------------------------------------------------+</w:t>
        <w:br/>
      </w:r>
      <w:r>
        <w:rPr>
          <w:rFonts w:ascii="Consolas" w:hAnsi="Consolas"/>
          <w:color w:val="334155"/>
          <w:sz w:val="16"/>
        </w:rPr>
        <w:t>|                     Input Source Layer                      |</w:t>
        <w:br/>
      </w:r>
      <w:r>
        <w:rPr>
          <w:rFonts w:ascii="Consolas" w:hAnsi="Consolas"/>
          <w:color w:val="334155"/>
          <w:sz w:val="16"/>
        </w:rPr>
        <w:t>|         (Direct Paste / File Ingestion / Directory Walk)    |</w:t>
        <w:br/>
      </w:r>
      <w:r>
        <w:rPr>
          <w:rFonts w:ascii="Consolas" w:hAnsi="Consolas"/>
          <w:color w:val="334155"/>
          <w:sz w:val="16"/>
        </w:rPr>
        <w:t>+-------------------------------------------------------------+</w:t>
        <w:br/>
      </w:r>
      <w:r>
        <w:rPr>
          <w:rFonts w:ascii="Consolas" w:hAnsi="Consolas"/>
          <w:color w:val="334155"/>
          <w:sz w:val="16"/>
        </w:rPr>
        <w:t xml:space="preserve">                              |</w:t>
        <w:br/>
      </w:r>
      <w:r>
        <w:rPr>
          <w:rFonts w:ascii="Consolas" w:hAnsi="Consolas"/>
          <w:color w:val="334155"/>
          <w:sz w:val="16"/>
        </w:rPr>
        <w:t xml:space="preserve">                              v</w:t>
        <w:br/>
      </w:r>
      <w:r>
        <w:rPr>
          <w:rFonts w:ascii="Consolas" w:hAnsi="Consolas"/>
          <w:color w:val="334155"/>
          <w:sz w:val="16"/>
        </w:rPr>
        <w:t>+-------------------------------------------------------------+</w:t>
        <w:br/>
      </w:r>
      <w:r>
        <w:rPr>
          <w:rFonts w:ascii="Consolas" w:hAnsi="Consolas"/>
          <w:color w:val="334155"/>
          <w:sz w:val="16"/>
        </w:rPr>
        <w:t>|                 Preprocessing &amp; Tokenization                |</w:t>
        <w:br/>
      </w:r>
      <w:r>
        <w:rPr>
          <w:rFonts w:ascii="Consolas" w:hAnsi="Consolas"/>
          <w:color w:val="334155"/>
          <w:sz w:val="16"/>
        </w:rPr>
        <w:t>|             (Line Separation &amp; Whitespace Normalization)    |</w:t>
        <w:br/>
      </w:r>
      <w:r>
        <w:rPr>
          <w:rFonts w:ascii="Consolas" w:hAnsi="Consolas"/>
          <w:color w:val="334155"/>
          <w:sz w:val="16"/>
        </w:rPr>
        <w:t>+-------------------------------------------------------------+</w:t>
        <w:br/>
      </w:r>
      <w:r>
        <w:rPr>
          <w:rFonts w:ascii="Consolas" w:hAnsi="Consolas"/>
          <w:color w:val="334155"/>
          <w:sz w:val="16"/>
        </w:rPr>
        <w:t xml:space="preserve">                              |</w:t>
        <w:br/>
      </w:r>
      <w:r>
        <w:rPr>
          <w:rFonts w:ascii="Consolas" w:hAnsi="Consolas"/>
          <w:color w:val="334155"/>
          <w:sz w:val="16"/>
        </w:rPr>
        <w:t xml:space="preserve">              +---------------+---------------+</w:t>
        <w:br/>
      </w:r>
      <w:r>
        <w:rPr>
          <w:rFonts w:ascii="Consolas" w:hAnsi="Consolas"/>
          <w:color w:val="334155"/>
          <w:sz w:val="16"/>
        </w:rPr>
        <w:t xml:space="preserve">              |                               |</w:t>
        <w:br/>
      </w:r>
      <w:r>
        <w:rPr>
          <w:rFonts w:ascii="Consolas" w:hAnsi="Consolas"/>
          <w:color w:val="334155"/>
          <w:sz w:val="16"/>
        </w:rPr>
        <w:t xml:space="preserve">              v                               v</w:t>
        <w:br/>
      </w:r>
      <w:r>
        <w:rPr>
          <w:rFonts w:ascii="Consolas" w:hAnsi="Consolas"/>
          <w:color w:val="334155"/>
          <w:sz w:val="16"/>
        </w:rPr>
        <w:t>+-----------------------------+ +-----------------------------+</w:t>
        <w:br/>
      </w:r>
      <w:r>
        <w:rPr>
          <w:rFonts w:ascii="Consolas" w:hAnsi="Consolas"/>
          <w:color w:val="334155"/>
          <w:sz w:val="16"/>
        </w:rPr>
        <w:t>| Pattern Matching Subsystem  | |  Shannon Entropy Subsystem  |</w:t>
        <w:br/>
      </w:r>
      <w:r>
        <w:rPr>
          <w:rFonts w:ascii="Consolas" w:hAnsi="Consolas"/>
          <w:color w:val="334155"/>
          <w:sz w:val="16"/>
        </w:rPr>
        <w:t>| - 15+ Deterministic Signatures| | - Byte Frequency Analysis   |</w:t>
        <w:br/>
      </w:r>
      <w:r>
        <w:rPr>
          <w:rFonts w:ascii="Consolas" w:hAnsi="Consolas"/>
          <w:color w:val="334155"/>
          <w:sz w:val="16"/>
        </w:rPr>
        <w:t>| - Pre-compiled Regex Engine | | - Obfuscated String Check   |</w:t>
        <w:br/>
      </w:r>
      <w:r>
        <w:rPr>
          <w:rFonts w:ascii="Consolas" w:hAnsi="Consolas"/>
          <w:color w:val="334155"/>
          <w:sz w:val="16"/>
        </w:rPr>
        <w:t>+-----------------------------+ +-----------------------------+</w:t>
        <w:br/>
      </w:r>
      <w:r>
        <w:rPr>
          <w:rFonts w:ascii="Consolas" w:hAnsi="Consolas"/>
          <w:color w:val="334155"/>
          <w:sz w:val="16"/>
        </w:rPr>
        <w:t xml:space="preserve">              |                               |</w:t>
        <w:br/>
      </w:r>
      <w:r>
        <w:rPr>
          <w:rFonts w:ascii="Consolas" w:hAnsi="Consolas"/>
          <w:color w:val="334155"/>
          <w:sz w:val="16"/>
        </w:rPr>
        <w:t xml:space="preserve">              +---------------+---------------+</w:t>
        <w:br/>
      </w:r>
      <w:r>
        <w:rPr>
          <w:rFonts w:ascii="Consolas" w:hAnsi="Consolas"/>
          <w:color w:val="334155"/>
          <w:sz w:val="16"/>
        </w:rPr>
        <w:t xml:space="preserve">                              |</w:t>
        <w:br/>
      </w:r>
      <w:r>
        <w:rPr>
          <w:rFonts w:ascii="Consolas" w:hAnsi="Consolas"/>
          <w:color w:val="334155"/>
          <w:sz w:val="16"/>
        </w:rPr>
        <w:t xml:space="preserve">                              v</w:t>
        <w:br/>
      </w:r>
      <w:r>
        <w:rPr>
          <w:rFonts w:ascii="Consolas" w:hAnsi="Consolas"/>
          <w:color w:val="334155"/>
          <w:sz w:val="16"/>
        </w:rPr>
        <w:t>+-------------------------------------------------------------+</w:t>
        <w:br/>
      </w:r>
      <w:r>
        <w:rPr>
          <w:rFonts w:ascii="Consolas" w:hAnsi="Consolas"/>
          <w:color w:val="334155"/>
          <w:sz w:val="16"/>
        </w:rPr>
        <w:t>|                Aggregation &amp; Redaction Engine               |</w:t>
        <w:br/>
      </w:r>
      <w:r>
        <w:rPr>
          <w:rFonts w:ascii="Consolas" w:hAnsi="Consolas"/>
          <w:color w:val="334155"/>
          <w:sz w:val="16"/>
        </w:rPr>
        <w:t>|  - Deduplication &amp; Context Capture (File, Line, Severity)   |</w:t>
        <w:br/>
      </w:r>
      <w:r>
        <w:rPr>
          <w:rFonts w:ascii="Consolas" w:hAnsi="Consolas"/>
          <w:color w:val="334155"/>
          <w:sz w:val="16"/>
        </w:rPr>
        <w:t>|  - Partial Masking (Prefix + Asterisks + Suffix)            |</w:t>
        <w:br/>
      </w:r>
      <w:r>
        <w:rPr>
          <w:rFonts w:ascii="Consolas" w:hAnsi="Consolas"/>
          <w:color w:val="334155"/>
          <w:sz w:val="16"/>
        </w:rPr>
        <w:t>+-------------------------------------------------------------+</w:t>
        <w:br/>
      </w:r>
      <w:r>
        <w:rPr>
          <w:rFonts w:ascii="Consolas" w:hAnsi="Consolas"/>
          <w:color w:val="334155"/>
          <w:sz w:val="16"/>
        </w:rPr>
        <w:t xml:space="preserve">                              |</w:t>
        <w:br/>
      </w:r>
      <w:r>
        <w:rPr>
          <w:rFonts w:ascii="Consolas" w:hAnsi="Consolas"/>
          <w:color w:val="334155"/>
          <w:sz w:val="16"/>
        </w:rPr>
        <w:t xml:space="preserve">                              v</w:t>
        <w:br/>
      </w:r>
      <w:r>
        <w:rPr>
          <w:rFonts w:ascii="Consolas" w:hAnsi="Consolas"/>
          <w:color w:val="334155"/>
          <w:sz w:val="16"/>
        </w:rPr>
        <w:t>+-------------------------------------------------------------+</w:t>
        <w:br/>
      </w:r>
      <w:r>
        <w:rPr>
          <w:rFonts w:ascii="Consolas" w:hAnsi="Consolas"/>
          <w:color w:val="334155"/>
          <w:sz w:val="16"/>
        </w:rPr>
        <w:t>|                  Reporting &amp; Presentation                   |</w:t>
        <w:br/>
      </w:r>
      <w:r>
        <w:rPr>
          <w:rFonts w:ascii="Consolas" w:hAnsi="Consolas"/>
          <w:color w:val="334155"/>
          <w:sz w:val="16"/>
        </w:rPr>
        <w:t>|  - Streamlit Cyber Dashboard                                |</w:t>
        <w:br/>
      </w:r>
      <w:r>
        <w:rPr>
          <w:rFonts w:ascii="Consolas" w:hAnsi="Consolas"/>
          <w:color w:val="334155"/>
          <w:sz w:val="16"/>
        </w:rPr>
        <w:t>|  - Dynamic Remediation Guidance                             |</w:t>
        <w:br/>
      </w:r>
      <w:r>
        <w:rPr>
          <w:rFonts w:ascii="Consolas" w:hAnsi="Consolas"/>
          <w:color w:val="334155"/>
          <w:sz w:val="16"/>
        </w:rPr>
        <w:t>|  - JSON / Markdown Export                                   |</w:t>
        <w:br/>
      </w:r>
      <w:r>
        <w:rPr>
          <w:rFonts w:ascii="Consolas" w:hAnsi="Consolas"/>
          <w:color w:val="334155"/>
          <w:sz w:val="16"/>
        </w:rPr>
        <w:t>+-------------------------------------------------------------+</w:t>
      </w:r>
    </w:p>
    <w:p>
      <w:pPr>
        <w:pStyle w:val="Heading2"/>
      </w:pPr>
      <w:r>
        <w:t>4.2 Algorithm &amp; Shannon Entropy Calculation</w:t>
      </w:r>
    </w:p>
    <w:p>
      <w:r>
        <w:t>The system calculates Shannon Entropy \(H(S)\) for potential secret values:</w:t>
      </w:r>
    </w:p>
    <w:p>
      <w:pPr>
        <w:jc w:val="center"/>
      </w:pPr>
      <w:r>
        <w:rPr>
          <w:rFonts w:ascii="Cambria Math" w:hAnsi="Cambria Math"/>
          <w:b/>
          <w:sz w:val="24"/>
        </w:rPr>
        <w:t>H(S) = - sum_{i=1}^{N} P(c_i) log_2 P(c_i)</w:t>
      </w:r>
    </w:p>
    <w:p>
      <w:r>
        <w:t>Where:</w:t>
      </w:r>
    </w:p>
    <w:p>
      <w:pPr>
        <w:pStyle w:val="ListBullet"/>
      </w:pPr>
      <w:r>
        <w:t>\(S\) is the extracted candidate string.</w:t>
      </w:r>
    </w:p>
    <w:p>
      <w:pPr>
        <w:pStyle w:val="ListBullet"/>
      </w:pPr>
      <w:r>
        <w:t>\(P(c_i)\) is the frequency probability of character \(c_i\) within \(S\).</w:t>
      </w:r>
    </w:p>
    <w:p>
      <w:pPr>
        <w:pStyle w:val="ListBullet"/>
      </w:pPr>
      <w:r>
        <w:t>Normal programming identifiers typically produce entropy scores between \(1.8 - 3.2\).</w:t>
      </w:r>
    </w:p>
    <w:p>
      <w:pPr>
        <w:pStyle w:val="ListBullet"/>
      </w:pPr>
      <w:r>
        <w:t>Cryptographic keys, base64 strings, and high-security passwords typically score \(&gt; 4.5\).</w:t>
      </w:r>
    </w:p>
    <w:p>
      <w:pPr>
        <w:pStyle w:val="Heading1"/>
      </w:pPr>
      <w:r>
        <w:t>5. Technology Stack</w:t>
      </w:r>
    </w:p>
    <w:p>
      <w:pPr>
        <w:pStyle w:val="ListBullet"/>
      </w:pPr>
      <w:r>
        <w:t>Language: Python 3.9+</w:t>
      </w:r>
    </w:p>
    <w:p>
      <w:pPr>
        <w:pStyle w:val="ListBullet"/>
      </w:pPr>
      <w:r>
        <w:t>Interface: Streamlit</w:t>
      </w:r>
    </w:p>
    <w:p>
      <w:pPr>
        <w:pStyle w:val="ListBullet"/>
      </w:pPr>
      <w:r>
        <w:t>Regular Expressions: Python re module</w:t>
      </w:r>
    </w:p>
    <w:p>
      <w:pPr>
        <w:pStyle w:val="ListBullet"/>
      </w:pPr>
      <w:r>
        <w:t>Data Structuring: Pandas</w:t>
      </w:r>
    </w:p>
    <w:p>
      <w:pPr>
        <w:pStyle w:val="ListBullet"/>
      </w:pPr>
      <w:r>
        <w:t>Storage / Reports: JSON, Markdown</w:t>
      </w:r>
    </w:p>
    <w:p>
      <w:pPr>
        <w:pStyle w:val="Heading1"/>
      </w:pPr>
      <w:r>
        <w:t>6. Functional Modules</w:t>
      </w:r>
    </w:p>
    <w:p>
      <w:pPr>
        <w:pStyle w:val="ListNumber"/>
      </w:pPr>
      <w:r>
        <w:t>Multi-Mode Input Module: Accommodates raw clipboard pastes, multi-file uploads (.env, .py, .js, etc.), and filesystem directory walks.</w:t>
      </w:r>
    </w:p>
    <w:p>
      <w:pPr>
        <w:pStyle w:val="ListNumber"/>
      </w:pPr>
      <w:r>
        <w:t>Signature Engine: Enforces pre-compiled patterns targeting distinctive vendor prefixes (e.g., AKIA..., ghp_..., sk-proj-...).</w:t>
      </w:r>
    </w:p>
    <w:p>
      <w:pPr>
        <w:pStyle w:val="ListNumber"/>
      </w:pPr>
      <w:r>
        <w:t>Entropy Validation Module: Evaluates random strings to pinpoint non-standard API keys.</w:t>
      </w:r>
    </w:p>
    <w:p>
      <w:pPr>
        <w:pStyle w:val="ListNumber"/>
      </w:pPr>
      <w:r>
        <w:t>Redaction Module: Safely replaces the central characters of sensitive values with asterisks.</w:t>
      </w:r>
    </w:p>
    <w:p>
      <w:pPr>
        <w:pStyle w:val="ListNumber"/>
      </w:pPr>
      <w:r>
        <w:t>Remediation &amp; Export Module: Couples each finding with step-by-step containment instructions.</w:t>
      </w:r>
    </w:p>
    <w:p>
      <w:pPr>
        <w:pStyle w:val="Heading1"/>
      </w:pPr>
      <w:r>
        <w:t>7. Testing &amp; Verification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5324B"/>
          </w:tcPr>
          <w:p>
            <w:r>
              <w:rPr>
                <w:b/>
                <w:color w:val="FFFFFF"/>
                <w:sz w:val="18"/>
              </w:rPr>
              <w:t>Test ID</w:t>
            </w:r>
          </w:p>
        </w:tc>
        <w:tc>
          <w:tcPr>
            <w:tcW w:type="dxa" w:w="1958"/>
            <w:shd w:fill="15324B"/>
          </w:tcPr>
          <w:p>
            <w:r>
              <w:rPr>
                <w:b/>
                <w:color w:val="FFFFFF"/>
                <w:sz w:val="18"/>
              </w:rPr>
              <w:t>Test Description</w:t>
            </w:r>
          </w:p>
        </w:tc>
        <w:tc>
          <w:tcPr>
            <w:tcW w:type="dxa" w:w="1958"/>
            <w:shd w:fill="15324B"/>
          </w:tcPr>
          <w:p>
            <w:r>
              <w:rPr>
                <w:b/>
                <w:color w:val="FFFFFF"/>
                <w:sz w:val="18"/>
              </w:rPr>
              <w:t>Sample Input</w:t>
            </w:r>
          </w:p>
        </w:tc>
        <w:tc>
          <w:tcPr>
            <w:tcW w:type="dxa" w:w="1958"/>
            <w:shd w:fill="15324B"/>
          </w:tcPr>
          <w:p>
            <w:r>
              <w:rPr>
                <w:b/>
                <w:color w:val="FFFFFF"/>
                <w:sz w:val="18"/>
              </w:rPr>
              <w:t>Expected Output</w:t>
            </w:r>
          </w:p>
        </w:tc>
        <w:tc>
          <w:tcPr>
            <w:tcW w:type="dxa" w:w="1958"/>
            <w:shd w:fill="15324B"/>
          </w:tcPr>
          <w:p>
            <w:r>
              <w:rPr>
                <w:b/>
                <w:color w:val="FFFFFF"/>
                <w:sz w:val="18"/>
              </w:rPr>
              <w:t>Status</w:t>
            </w:r>
          </w:p>
        </w:tc>
      </w:tr>
      <w:tr>
        <w:tc>
          <w:tcPr>
            <w:tcW w:type="dxa" w:w="1958"/>
          </w:tcPr>
          <w:p>
            <w:pPr>
              <w:spacing w:after="40"/>
            </w:pPr>
            <w:r>
              <w:rPr>
                <w:sz w:val="18"/>
              </w:rPr>
              <w:t>ST-01</w:t>
            </w:r>
          </w:p>
        </w:tc>
        <w:tc>
          <w:tcPr>
            <w:tcW w:type="dxa" w:w="1958"/>
          </w:tcPr>
          <w:p>
            <w:pPr>
              <w:spacing w:after="40"/>
            </w:pPr>
            <w:r>
              <w:rPr>
                <w:sz w:val="18"/>
              </w:rPr>
              <w:t>AWS Key Detection</w:t>
            </w:r>
          </w:p>
        </w:tc>
        <w:tc>
          <w:tcPr>
            <w:tcW w:type="dxa" w:w="1958"/>
          </w:tcPr>
          <w:p>
            <w:pPr>
              <w:spacing w:after="40"/>
            </w:pPr>
            <w:r>
              <w:rPr>
                <w:sz w:val="18"/>
              </w:rPr>
              <w:t>AKIAIOSFODNN7EXAMPLE</w:t>
            </w:r>
          </w:p>
        </w:tc>
        <w:tc>
          <w:tcPr>
            <w:tcW w:type="dxa" w:w="1958"/>
          </w:tcPr>
          <w:p>
            <w:pPr>
              <w:spacing w:after="40"/>
            </w:pPr>
            <w:r>
              <w:rPr>
                <w:sz w:val="18"/>
              </w:rPr>
              <w:t>Flagged as Critical: AWS Access Key ID</w:t>
            </w:r>
          </w:p>
        </w:tc>
        <w:tc>
          <w:tcPr>
            <w:tcW w:type="dxa" w:w="1958"/>
          </w:tcPr>
          <w:p>
            <w:pPr>
              <w:spacing w:after="40"/>
            </w:pPr>
            <w:r>
              <w:rPr>
                <w:sz w:val="18"/>
              </w:rPr>
              <w:t>PASSED</w:t>
            </w:r>
          </w:p>
        </w:tc>
      </w:tr>
      <w:tr>
        <w:tc>
          <w:tcPr>
            <w:tcW w:type="dxa" w:w="1958"/>
            <w:shd w:fill="F1F5F9"/>
          </w:tcPr>
          <w:p>
            <w:pPr>
              <w:spacing w:after="40"/>
            </w:pPr>
            <w:r>
              <w:rPr>
                <w:sz w:val="18"/>
              </w:rPr>
              <w:t>ST-02</w:t>
            </w:r>
          </w:p>
        </w:tc>
        <w:tc>
          <w:tcPr>
            <w:tcW w:type="dxa" w:w="1958"/>
            <w:shd w:fill="F1F5F9"/>
          </w:tcPr>
          <w:p>
            <w:pPr>
              <w:spacing w:after="40"/>
            </w:pPr>
            <w:r>
              <w:rPr>
                <w:sz w:val="18"/>
              </w:rPr>
              <w:t>GitHub Token Detection</w:t>
            </w:r>
          </w:p>
        </w:tc>
        <w:tc>
          <w:tcPr>
            <w:tcW w:type="dxa" w:w="1958"/>
            <w:shd w:fill="F1F5F9"/>
          </w:tcPr>
          <w:p>
            <w:pPr>
              <w:spacing w:after="40"/>
            </w:pPr>
            <w:r>
              <w:rPr>
                <w:sz w:val="18"/>
              </w:rPr>
              <w:t>ghp_11223344556677889900aabbccddeeffgghh</w:t>
            </w:r>
          </w:p>
        </w:tc>
        <w:tc>
          <w:tcPr>
            <w:tcW w:type="dxa" w:w="1958"/>
            <w:shd w:fill="F1F5F9"/>
          </w:tcPr>
          <w:p>
            <w:pPr>
              <w:spacing w:after="40"/>
            </w:pPr>
            <w:r>
              <w:rPr>
                <w:sz w:val="18"/>
              </w:rPr>
              <w:t>Flagged as Critical: GitHub PAT</w:t>
            </w:r>
          </w:p>
        </w:tc>
        <w:tc>
          <w:tcPr>
            <w:tcW w:type="dxa" w:w="1958"/>
            <w:shd w:fill="F1F5F9"/>
          </w:tcPr>
          <w:p>
            <w:pPr>
              <w:spacing w:after="40"/>
            </w:pPr>
            <w:r>
              <w:rPr>
                <w:sz w:val="18"/>
              </w:rPr>
              <w:t>PASSED</w:t>
            </w:r>
          </w:p>
        </w:tc>
      </w:tr>
      <w:tr>
        <w:tc>
          <w:tcPr>
            <w:tcW w:type="dxa" w:w="1958"/>
          </w:tcPr>
          <w:p>
            <w:pPr>
              <w:spacing w:after="40"/>
            </w:pPr>
            <w:r>
              <w:rPr>
                <w:sz w:val="18"/>
              </w:rPr>
              <w:t>ST-03</w:t>
            </w:r>
          </w:p>
        </w:tc>
        <w:tc>
          <w:tcPr>
            <w:tcW w:type="dxa" w:w="1958"/>
          </w:tcPr>
          <w:p>
            <w:pPr>
              <w:spacing w:after="40"/>
            </w:pPr>
            <w:r>
              <w:rPr>
                <w:sz w:val="18"/>
              </w:rPr>
              <w:t>Database URI with Password</w:t>
            </w:r>
          </w:p>
        </w:tc>
        <w:tc>
          <w:tcPr>
            <w:tcW w:type="dxa" w:w="1958"/>
          </w:tcPr>
          <w:p>
            <w:pPr>
              <w:spacing w:after="40"/>
            </w:pPr>
            <w:r>
              <w:rPr>
                <w:sz w:val="18"/>
              </w:rPr>
              <w:t>postgres://user:p@ss@db:5432/main</w:t>
            </w:r>
          </w:p>
        </w:tc>
        <w:tc>
          <w:tcPr>
            <w:tcW w:type="dxa" w:w="1958"/>
          </w:tcPr>
          <w:p>
            <w:pPr>
              <w:spacing w:after="40"/>
            </w:pPr>
            <w:r>
              <w:rPr>
                <w:sz w:val="18"/>
              </w:rPr>
              <w:t>Flagged as Critical: Database Connection URI</w:t>
            </w:r>
          </w:p>
        </w:tc>
        <w:tc>
          <w:tcPr>
            <w:tcW w:type="dxa" w:w="1958"/>
          </w:tcPr>
          <w:p>
            <w:pPr>
              <w:spacing w:after="40"/>
            </w:pPr>
            <w:r>
              <w:rPr>
                <w:sz w:val="18"/>
              </w:rPr>
              <w:t>PASSED</w:t>
            </w:r>
          </w:p>
        </w:tc>
      </w:tr>
      <w:tr>
        <w:tc>
          <w:tcPr>
            <w:tcW w:type="dxa" w:w="1958"/>
            <w:shd w:fill="F1F5F9"/>
          </w:tcPr>
          <w:p>
            <w:pPr>
              <w:spacing w:after="40"/>
            </w:pPr>
            <w:r>
              <w:rPr>
                <w:sz w:val="18"/>
              </w:rPr>
              <w:t>ST-04</w:t>
            </w:r>
          </w:p>
        </w:tc>
        <w:tc>
          <w:tcPr>
            <w:tcW w:type="dxa" w:w="1958"/>
            <w:shd w:fill="F1F5F9"/>
          </w:tcPr>
          <w:p>
            <w:pPr>
              <w:spacing w:after="40"/>
            </w:pPr>
            <w:r>
              <w:rPr>
                <w:sz w:val="18"/>
              </w:rPr>
              <w:t>Private Key Ingestion</w:t>
            </w:r>
          </w:p>
        </w:tc>
        <w:tc>
          <w:tcPr>
            <w:tcW w:type="dxa" w:w="1958"/>
            <w:shd w:fill="F1F5F9"/>
          </w:tcPr>
          <w:p>
            <w:pPr>
              <w:spacing w:after="40"/>
            </w:pPr>
            <w:r>
              <w:rPr>
                <w:sz w:val="18"/>
              </w:rPr>
              <w:t>-----BEGIN RSA PRIVATE KEY-----</w:t>
            </w:r>
          </w:p>
        </w:tc>
        <w:tc>
          <w:tcPr>
            <w:tcW w:type="dxa" w:w="1958"/>
            <w:shd w:fill="F1F5F9"/>
          </w:tcPr>
          <w:p>
            <w:pPr>
              <w:spacing w:after="40"/>
            </w:pPr>
            <w:r>
              <w:rPr>
                <w:sz w:val="18"/>
              </w:rPr>
              <w:t>Flagged as Critical: Cryptographic Key</w:t>
            </w:r>
          </w:p>
        </w:tc>
        <w:tc>
          <w:tcPr>
            <w:tcW w:type="dxa" w:w="1958"/>
            <w:shd w:fill="F1F5F9"/>
          </w:tcPr>
          <w:p>
            <w:pPr>
              <w:spacing w:after="40"/>
            </w:pPr>
            <w:r>
              <w:rPr>
                <w:sz w:val="18"/>
              </w:rPr>
              <w:t>PASSED</w:t>
            </w:r>
          </w:p>
        </w:tc>
      </w:tr>
      <w:tr>
        <w:tc>
          <w:tcPr>
            <w:tcW w:type="dxa" w:w="1958"/>
          </w:tcPr>
          <w:p>
            <w:pPr>
              <w:spacing w:after="40"/>
            </w:pPr>
            <w:r>
              <w:rPr>
                <w:sz w:val="18"/>
              </w:rPr>
              <w:t>ST-05</w:t>
            </w:r>
          </w:p>
        </w:tc>
        <w:tc>
          <w:tcPr>
            <w:tcW w:type="dxa" w:w="1958"/>
          </w:tcPr>
          <w:p>
            <w:pPr>
              <w:spacing w:after="40"/>
            </w:pPr>
            <w:r>
              <w:rPr>
                <w:sz w:val="18"/>
              </w:rPr>
              <w:t>Directory Scanner</w:t>
            </w:r>
          </w:p>
        </w:tc>
        <w:tc>
          <w:tcPr>
            <w:tcW w:type="dxa" w:w="1958"/>
          </w:tcPr>
          <w:p>
            <w:pPr>
              <w:spacing w:after="40"/>
            </w:pPr>
            <w:r>
              <w:rPr>
                <w:sz w:val="18"/>
              </w:rPr>
              <w:t>Folder with 10 files including .env</w:t>
            </w:r>
          </w:p>
        </w:tc>
        <w:tc>
          <w:tcPr>
            <w:tcW w:type="dxa" w:w="1958"/>
          </w:tcPr>
          <w:p>
            <w:pPr>
              <w:spacing w:after="40"/>
            </w:pPr>
            <w:r>
              <w:rPr>
                <w:sz w:val="18"/>
              </w:rPr>
              <w:t>Successfully traverses and isolates leaks</w:t>
            </w:r>
          </w:p>
        </w:tc>
        <w:tc>
          <w:tcPr>
            <w:tcW w:type="dxa" w:w="1958"/>
          </w:tcPr>
          <w:p>
            <w:pPr>
              <w:spacing w:after="40"/>
            </w:pPr>
            <w:r>
              <w:rPr>
                <w:sz w:val="18"/>
              </w:rPr>
              <w:t>PASSED</w:t>
            </w:r>
          </w:p>
        </w:tc>
      </w:tr>
      <w:tr>
        <w:tc>
          <w:tcPr>
            <w:tcW w:type="dxa" w:w="1958"/>
            <w:shd w:fill="F1F5F9"/>
          </w:tcPr>
          <w:p>
            <w:pPr>
              <w:spacing w:after="40"/>
            </w:pPr>
            <w:r>
              <w:rPr>
                <w:sz w:val="18"/>
              </w:rPr>
              <w:t>ST-06</w:t>
            </w:r>
          </w:p>
        </w:tc>
        <w:tc>
          <w:tcPr>
            <w:tcW w:type="dxa" w:w="1958"/>
            <w:shd w:fill="F1F5F9"/>
          </w:tcPr>
          <w:p>
            <w:pPr>
              <w:spacing w:after="40"/>
            </w:pPr>
            <w:r>
              <w:rPr>
                <w:sz w:val="18"/>
              </w:rPr>
              <w:t>Masking Check</w:t>
            </w:r>
          </w:p>
        </w:tc>
        <w:tc>
          <w:tcPr>
            <w:tcW w:type="dxa" w:w="1958"/>
            <w:shd w:fill="F1F5F9"/>
          </w:tcPr>
          <w:p>
            <w:pPr>
              <w:spacing w:after="40"/>
            </w:pPr>
            <w:r>
              <w:rPr>
                <w:sz w:val="18"/>
              </w:rPr>
              <w:t>Key of length 32</w:t>
            </w:r>
          </w:p>
        </w:tc>
        <w:tc>
          <w:tcPr>
            <w:tcW w:type="dxa" w:w="1958"/>
            <w:shd w:fill="F1F5F9"/>
          </w:tcPr>
          <w:p>
            <w:pPr>
              <w:spacing w:after="40"/>
            </w:pPr>
            <w:r>
              <w:rPr>
                <w:sz w:val="18"/>
              </w:rPr>
              <w:t>Middle characters masked with *</w:t>
            </w:r>
          </w:p>
        </w:tc>
        <w:tc>
          <w:tcPr>
            <w:tcW w:type="dxa" w:w="1958"/>
            <w:shd w:fill="F1F5F9"/>
          </w:tcPr>
          <w:p>
            <w:pPr>
              <w:spacing w:after="40"/>
            </w:pPr>
            <w:r>
              <w:rPr>
                <w:sz w:val="18"/>
              </w:rPr>
              <w:t>PASSED</w:t>
            </w:r>
          </w:p>
        </w:tc>
      </w:tr>
    </w:tbl>
    <w:p/>
    <w:p>
      <w:pPr>
        <w:pStyle w:val="Heading1"/>
      </w:pPr>
      <w:r>
        <w:t>8. Security &amp; Ethical Considerations</w:t>
      </w:r>
    </w:p>
    <w:p>
      <w:pPr>
        <w:pStyle w:val="ListBullet"/>
      </w:pPr>
      <w:r>
        <w:t>Zero Remote Storage: Scans occur entirely within the local Python runtime environment. No credentials or files are saved to external cloud endpoints.</w:t>
      </w:r>
    </w:p>
    <w:p>
      <w:pPr>
        <w:pStyle w:val="ListBullet"/>
      </w:pPr>
      <w:r>
        <w:t>Defensive Display: By default, secrets are masked on screen to prevent "shoulder-surfing" or accidental exposure during screen sharing.</w:t>
      </w:r>
    </w:p>
    <w:p>
      <w:pPr>
        <w:pStyle w:val="Heading1"/>
      </w:pPr>
      <w:r>
        <w:t>9. Future Enhancements</w:t>
      </w:r>
    </w:p>
    <w:p>
      <w:pPr>
        <w:pStyle w:val="ListBullet"/>
      </w:pPr>
      <w:r>
        <w:t>Git Pre-Commit Hook integration for automatic blocking of git commits containing secrets.</w:t>
      </w:r>
    </w:p>
    <w:p>
      <w:pPr>
        <w:pStyle w:val="ListBullet"/>
      </w:pPr>
      <w:r>
        <w:t>Integration of live API validation checks (e.g. non-destructive query to check if an AWS key is active).</w:t>
      </w:r>
    </w:p>
    <w:p>
      <w:pPr>
        <w:pStyle w:val="ListBullet"/>
      </w:pPr>
      <w:r>
        <w:t>Custom YARA rule ingestion for enterprise-tailored detection profiles.</w:t>
      </w:r>
    </w:p>
    <w:p>
      <w:pPr>
        <w:pStyle w:val="Heading1"/>
      </w:pPr>
      <w:r>
        <w:t>10. Conclusion</w:t>
      </w:r>
    </w:p>
    <w:p>
      <w:r>
        <w:t>SecretHunter delivers an accessible, robust, and privacy-conscious solution for preventing credential exposure. By combining high-speed signature matching, entropy verification, and practical remediation playbooks, SecretHunter equips developers and security engineers with a critical safeguard against catastrophic credential leaks.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SecretHunter Project Report • Ravikant Kumar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SECRETHUNTER | AUTOMATED SECRET &amp; CREDENTIAL LEAK DETECTOR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