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149F" w14:textId="77777777" w:rsidR="00D967BE" w:rsidRDefault="00000000">
      <w:pPr>
        <w:spacing w:after="60"/>
        <w:jc w:val="center"/>
      </w:pPr>
      <w:r>
        <w:rPr>
          <w:b/>
          <w:bCs/>
          <w:color w:val="1F3864"/>
          <w:sz w:val="34"/>
          <w:szCs w:val="34"/>
        </w:rPr>
        <w:t>OWASP &amp; RAG Study Notes and System Architecture Design</w:t>
      </w:r>
    </w:p>
    <w:p w14:paraId="77D5CB76" w14:textId="77777777" w:rsidR="00D967BE" w:rsidRDefault="00000000">
      <w:pPr>
        <w:spacing w:after="40"/>
        <w:jc w:val="center"/>
      </w:pPr>
      <w:r>
        <w:rPr>
          <w:color w:val="44546A"/>
          <w:sz w:val="24"/>
          <w:szCs w:val="24"/>
        </w:rPr>
        <w:t>AI Code Review &amp; Security Analysis Agent — Milestone 1</w:t>
      </w:r>
    </w:p>
    <w:p w14:paraId="5FEB5472" w14:textId="77777777" w:rsidR="00D967BE" w:rsidRDefault="00000000">
      <w:pPr>
        <w:pBdr>
          <w:bottom w:val="single" w:sz="8" w:space="8" w:color="1F3864"/>
        </w:pBdr>
        <w:spacing w:after="300"/>
        <w:jc w:val="center"/>
      </w:pPr>
      <w:r>
        <w:rPr>
          <w:i/>
          <w:iCs/>
          <w:color w:val="666666"/>
        </w:rPr>
        <w:t>Research Notes &amp; Architectural Design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967BE" w14:paraId="114969A9" w14:textId="77777777">
        <w:tblPrEx>
          <w:tblCellMar>
            <w:top w:w="0" w:type="dxa"/>
            <w:bottom w:w="0" w:type="dxa"/>
          </w:tblCellMar>
        </w:tblPrEx>
        <w:tc>
          <w:tcPr>
            <w:tcW w:w="3000" w:type="dxa"/>
            <w:shd w:val="clear" w:color="auto" w:fill="1F3864"/>
            <w:tcMar>
              <w:top w:w="100" w:type="dxa"/>
              <w:left w:w="120" w:type="dxa"/>
              <w:bottom w:w="100" w:type="dxa"/>
              <w:right w:w="120" w:type="dxa"/>
            </w:tcMar>
          </w:tcPr>
          <w:p w14:paraId="6213720D" w14:textId="77777777" w:rsidR="00D967BE" w:rsidRDefault="00000000">
            <w:r>
              <w:rPr>
                <w:b/>
                <w:bCs/>
                <w:color w:val="FFFFFF"/>
              </w:rPr>
              <w:t>Student Name</w:t>
            </w:r>
          </w:p>
        </w:tc>
        <w:tc>
          <w:tcPr>
            <w:tcW w:w="6360" w:type="dxa"/>
            <w:tcMar>
              <w:top w:w="100" w:type="dxa"/>
              <w:left w:w="120" w:type="dxa"/>
              <w:bottom w:w="100" w:type="dxa"/>
              <w:right w:w="120" w:type="dxa"/>
            </w:tcMar>
          </w:tcPr>
          <w:p w14:paraId="1F0B585B" w14:textId="77777777" w:rsidR="00D967BE" w:rsidRDefault="00000000">
            <w:r>
              <w:t>RAVI KISHAN</w:t>
            </w:r>
          </w:p>
        </w:tc>
      </w:tr>
      <w:tr w:rsidR="00D967BE" w14:paraId="42CB35AD" w14:textId="77777777">
        <w:tblPrEx>
          <w:tblCellMar>
            <w:top w:w="0" w:type="dxa"/>
            <w:bottom w:w="0" w:type="dxa"/>
          </w:tblCellMar>
        </w:tblPrEx>
        <w:tc>
          <w:tcPr>
            <w:tcW w:w="3000" w:type="dxa"/>
            <w:shd w:val="clear" w:color="auto" w:fill="1F3864"/>
            <w:tcMar>
              <w:top w:w="100" w:type="dxa"/>
              <w:left w:w="120" w:type="dxa"/>
              <w:bottom w:w="100" w:type="dxa"/>
              <w:right w:w="120" w:type="dxa"/>
            </w:tcMar>
          </w:tcPr>
          <w:p w14:paraId="486740A0" w14:textId="77777777" w:rsidR="00D967BE" w:rsidRDefault="00000000">
            <w:r>
              <w:rPr>
                <w:b/>
                <w:bCs/>
                <w:color w:val="FFFFFF"/>
              </w:rPr>
              <w:t>Project Title</w:t>
            </w:r>
          </w:p>
        </w:tc>
        <w:tc>
          <w:tcPr>
            <w:tcW w:w="6360" w:type="dxa"/>
            <w:tcMar>
              <w:top w:w="100" w:type="dxa"/>
              <w:left w:w="120" w:type="dxa"/>
              <w:bottom w:w="100" w:type="dxa"/>
              <w:right w:w="120" w:type="dxa"/>
            </w:tcMar>
          </w:tcPr>
          <w:p w14:paraId="3C2717DC" w14:textId="20F9463F" w:rsidR="00D967BE" w:rsidRPr="00FD23E7" w:rsidRDefault="00FD23E7">
            <w:r w:rsidRPr="00FD23E7">
              <w:br/>
              <w:t>Development of Smart Code Inspection Platform with Vulnerability Detection System Group 1</w:t>
            </w:r>
          </w:p>
        </w:tc>
      </w:tr>
      <w:tr w:rsidR="00D967BE" w14:paraId="704FBB89" w14:textId="77777777">
        <w:tblPrEx>
          <w:tblCellMar>
            <w:top w:w="0" w:type="dxa"/>
            <w:bottom w:w="0" w:type="dxa"/>
          </w:tblCellMar>
        </w:tblPrEx>
        <w:tc>
          <w:tcPr>
            <w:tcW w:w="3000" w:type="dxa"/>
            <w:shd w:val="clear" w:color="auto" w:fill="1F3864"/>
            <w:tcMar>
              <w:top w:w="100" w:type="dxa"/>
              <w:left w:w="120" w:type="dxa"/>
              <w:bottom w:w="100" w:type="dxa"/>
              <w:right w:w="120" w:type="dxa"/>
            </w:tcMar>
          </w:tcPr>
          <w:p w14:paraId="08D71720" w14:textId="77777777" w:rsidR="00D967BE" w:rsidRDefault="00000000">
            <w:r>
              <w:rPr>
                <w:b/>
                <w:bCs/>
                <w:color w:val="FFFFFF"/>
              </w:rPr>
              <w:t>Milestone</w:t>
            </w:r>
          </w:p>
        </w:tc>
        <w:tc>
          <w:tcPr>
            <w:tcW w:w="6360" w:type="dxa"/>
            <w:tcMar>
              <w:top w:w="100" w:type="dxa"/>
              <w:left w:w="120" w:type="dxa"/>
              <w:bottom w:w="100" w:type="dxa"/>
              <w:right w:w="120" w:type="dxa"/>
            </w:tcMar>
          </w:tcPr>
          <w:p w14:paraId="3E9EE1F8" w14:textId="77777777" w:rsidR="00D967BE" w:rsidRDefault="00000000">
            <w:r>
              <w:t>Milestone 1 (Week 1 - Week 2)</w:t>
            </w:r>
          </w:p>
        </w:tc>
      </w:tr>
      <w:tr w:rsidR="00D967BE" w14:paraId="2202E96A" w14:textId="77777777">
        <w:tblPrEx>
          <w:tblCellMar>
            <w:top w:w="0" w:type="dxa"/>
            <w:bottom w:w="0" w:type="dxa"/>
          </w:tblCellMar>
        </w:tblPrEx>
        <w:tc>
          <w:tcPr>
            <w:tcW w:w="3000" w:type="dxa"/>
            <w:shd w:val="clear" w:color="auto" w:fill="1F3864"/>
            <w:tcMar>
              <w:top w:w="100" w:type="dxa"/>
              <w:left w:w="120" w:type="dxa"/>
              <w:bottom w:w="100" w:type="dxa"/>
              <w:right w:w="120" w:type="dxa"/>
            </w:tcMar>
          </w:tcPr>
          <w:p w14:paraId="3DDA6BCF" w14:textId="77777777" w:rsidR="00D967BE" w:rsidRDefault="00000000">
            <w:r>
              <w:rPr>
                <w:b/>
                <w:bCs/>
                <w:color w:val="FFFFFF"/>
              </w:rPr>
              <w:t>Scope of this Document</w:t>
            </w:r>
          </w:p>
        </w:tc>
        <w:tc>
          <w:tcPr>
            <w:tcW w:w="6360" w:type="dxa"/>
            <w:tcMar>
              <w:top w:w="100" w:type="dxa"/>
              <w:left w:w="120" w:type="dxa"/>
              <w:bottom w:w="100" w:type="dxa"/>
              <w:right w:w="120" w:type="dxa"/>
            </w:tcMar>
          </w:tcPr>
          <w:p w14:paraId="7F66B38B" w14:textId="77777777" w:rsidR="00D967BE" w:rsidRDefault="00000000">
            <w:r>
              <w:t>Research notes on OWASP &amp; RAG, and system architecture design</w:t>
            </w:r>
          </w:p>
        </w:tc>
      </w:tr>
    </w:tbl>
    <w:p w14:paraId="64C13C2E" w14:textId="77777777" w:rsidR="00D967BE" w:rsidRDefault="00000000">
      <w:pPr>
        <w:pStyle w:val="Heading1"/>
        <w:spacing w:before="320" w:after="160"/>
      </w:pPr>
      <w:r>
        <w:t>Part A — OWASP Study Notes</w:t>
      </w:r>
    </w:p>
    <w:p w14:paraId="642EA526" w14:textId="77777777" w:rsidR="00D967BE" w:rsidRDefault="00000000">
      <w:pPr>
        <w:pStyle w:val="Heading2"/>
        <w:spacing w:before="220" w:after="120"/>
      </w:pPr>
      <w:r>
        <w:t>A.1 What is OWASP</w:t>
      </w:r>
    </w:p>
    <w:p w14:paraId="6C8286FB" w14:textId="77777777" w:rsidR="00D967BE" w:rsidRDefault="00000000">
      <w:pPr>
        <w:spacing w:after="160" w:line="300" w:lineRule="auto"/>
      </w:pPr>
      <w:r>
        <w:rPr>
          <w:sz w:val="22"/>
          <w:szCs w:val="22"/>
        </w:rPr>
        <w:t>OWASP (Open Worldwide Application Security Project) is a nonprofit community that publishes freely available guidelines, standards, and tools for building secure software. Its most widely referenced publication is the OWASP Top 10, a ranked list of the most critical web application security risks. This project uses the OWASP Top 10 and OWASP Secure Coding Practices as the grounding standard for the Security Vulnerability Agent, so its findings are based on an established industry benchmark rather than arbitrary rules.</w:t>
      </w:r>
    </w:p>
    <w:p w14:paraId="668145C4" w14:textId="77777777" w:rsidR="00D967BE" w:rsidRDefault="00000000">
      <w:pPr>
        <w:pStyle w:val="Heading2"/>
        <w:spacing w:before="220" w:after="120"/>
      </w:pPr>
      <w:r>
        <w:t>A.2 Core Vulnerability Categories Targeted by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967BE" w14:paraId="28D68D54" w14:textId="77777777">
        <w:tblPrEx>
          <w:tblCellMar>
            <w:top w:w="0" w:type="dxa"/>
            <w:bottom w:w="0" w:type="dxa"/>
          </w:tblCellMar>
        </w:tblPrEx>
        <w:tc>
          <w:tcPr>
            <w:tcW w:w="2400" w:type="dxa"/>
            <w:shd w:val="clear" w:color="auto" w:fill="1F3864"/>
            <w:tcMar>
              <w:top w:w="100" w:type="dxa"/>
              <w:left w:w="120" w:type="dxa"/>
              <w:bottom w:w="100" w:type="dxa"/>
              <w:right w:w="120" w:type="dxa"/>
            </w:tcMar>
          </w:tcPr>
          <w:p w14:paraId="085E5057" w14:textId="77777777" w:rsidR="00D967BE" w:rsidRDefault="00000000">
            <w:r>
              <w:rPr>
                <w:b/>
                <w:bCs/>
                <w:color w:val="FFFFFF"/>
              </w:rPr>
              <w:t>Vulnerability</w:t>
            </w:r>
          </w:p>
        </w:tc>
        <w:tc>
          <w:tcPr>
            <w:tcW w:w="6960" w:type="dxa"/>
            <w:shd w:val="clear" w:color="auto" w:fill="1F3864"/>
            <w:tcMar>
              <w:top w:w="100" w:type="dxa"/>
              <w:left w:w="120" w:type="dxa"/>
              <w:bottom w:w="100" w:type="dxa"/>
              <w:right w:w="120" w:type="dxa"/>
            </w:tcMar>
          </w:tcPr>
          <w:p w14:paraId="253CCECE" w14:textId="77777777" w:rsidR="00D967BE" w:rsidRDefault="00000000">
            <w:r>
              <w:rPr>
                <w:b/>
                <w:bCs/>
                <w:color w:val="FFFFFF"/>
              </w:rPr>
              <w:t>Core Idea</w:t>
            </w:r>
          </w:p>
        </w:tc>
      </w:tr>
      <w:tr w:rsidR="00D967BE" w14:paraId="3B0E8954" w14:textId="77777777">
        <w:tblPrEx>
          <w:tblCellMar>
            <w:top w:w="0" w:type="dxa"/>
            <w:bottom w:w="0" w:type="dxa"/>
          </w:tblCellMar>
        </w:tblPrEx>
        <w:tc>
          <w:tcPr>
            <w:tcW w:w="2400" w:type="dxa"/>
            <w:tcMar>
              <w:top w:w="100" w:type="dxa"/>
              <w:left w:w="120" w:type="dxa"/>
              <w:bottom w:w="100" w:type="dxa"/>
              <w:right w:w="120" w:type="dxa"/>
            </w:tcMar>
          </w:tcPr>
          <w:p w14:paraId="49F896D9" w14:textId="77777777" w:rsidR="00D967BE" w:rsidRDefault="00000000">
            <w:r>
              <w:t>SQL Injection</w:t>
            </w:r>
          </w:p>
        </w:tc>
        <w:tc>
          <w:tcPr>
            <w:tcW w:w="6960" w:type="dxa"/>
            <w:tcMar>
              <w:top w:w="100" w:type="dxa"/>
              <w:left w:w="120" w:type="dxa"/>
              <w:bottom w:w="100" w:type="dxa"/>
              <w:right w:w="120" w:type="dxa"/>
            </w:tcMar>
          </w:tcPr>
          <w:p w14:paraId="60BFD9AC" w14:textId="77777777" w:rsidR="00D967BE" w:rsidRDefault="00000000">
            <w:r>
              <w:t>Occurs when untrusted user input is inserted directly into a database query without sanitization, allowing an attacker to alter the query's logic (e.g. bypassing login checks or extracting data). Prevention: parameterized queries / prepared statements.</w:t>
            </w:r>
          </w:p>
        </w:tc>
      </w:tr>
      <w:tr w:rsidR="00D967BE" w14:paraId="511F045C" w14:textId="77777777">
        <w:tblPrEx>
          <w:tblCellMar>
            <w:top w:w="0" w:type="dxa"/>
            <w:bottom w:w="0" w:type="dxa"/>
          </w:tblCellMar>
        </w:tblPrEx>
        <w:tc>
          <w:tcPr>
            <w:tcW w:w="2400" w:type="dxa"/>
            <w:tcMar>
              <w:top w:w="100" w:type="dxa"/>
              <w:left w:w="120" w:type="dxa"/>
              <w:bottom w:w="100" w:type="dxa"/>
              <w:right w:w="120" w:type="dxa"/>
            </w:tcMar>
          </w:tcPr>
          <w:p w14:paraId="37B7404C" w14:textId="77777777" w:rsidR="00D967BE" w:rsidRDefault="00000000">
            <w:r>
              <w:t>Cross-Site Scripting (XSS)</w:t>
            </w:r>
          </w:p>
        </w:tc>
        <w:tc>
          <w:tcPr>
            <w:tcW w:w="6960" w:type="dxa"/>
            <w:tcMar>
              <w:top w:w="100" w:type="dxa"/>
              <w:left w:w="120" w:type="dxa"/>
              <w:bottom w:w="100" w:type="dxa"/>
              <w:right w:w="120" w:type="dxa"/>
            </w:tcMar>
          </w:tcPr>
          <w:p w14:paraId="0C2A62DA" w14:textId="77777777" w:rsidR="00D967BE" w:rsidRDefault="00000000">
            <w:r>
              <w:t>Occurs when untrusted input is rendered in a web page without proper escaping, letting an attacker inject scripts that run in another user's browser. Prevention: output encoding and input sanitization.</w:t>
            </w:r>
          </w:p>
        </w:tc>
      </w:tr>
      <w:tr w:rsidR="00D967BE" w14:paraId="26535698" w14:textId="77777777">
        <w:tblPrEx>
          <w:tblCellMar>
            <w:top w:w="0" w:type="dxa"/>
            <w:bottom w:w="0" w:type="dxa"/>
          </w:tblCellMar>
        </w:tblPrEx>
        <w:tc>
          <w:tcPr>
            <w:tcW w:w="2400" w:type="dxa"/>
            <w:tcMar>
              <w:top w:w="100" w:type="dxa"/>
              <w:left w:w="120" w:type="dxa"/>
              <w:bottom w:w="100" w:type="dxa"/>
              <w:right w:w="120" w:type="dxa"/>
            </w:tcMar>
          </w:tcPr>
          <w:p w14:paraId="2DF71BFC" w14:textId="77777777" w:rsidR="00D967BE" w:rsidRDefault="00000000">
            <w:r>
              <w:t>Cross-Site Request Forgery (CSRF)</w:t>
            </w:r>
          </w:p>
        </w:tc>
        <w:tc>
          <w:tcPr>
            <w:tcW w:w="6960" w:type="dxa"/>
            <w:tcMar>
              <w:top w:w="100" w:type="dxa"/>
              <w:left w:w="120" w:type="dxa"/>
              <w:bottom w:w="100" w:type="dxa"/>
              <w:right w:w="120" w:type="dxa"/>
            </w:tcMar>
          </w:tcPr>
          <w:p w14:paraId="7BF94EDC" w14:textId="77777777" w:rsidR="00D967BE" w:rsidRDefault="00000000">
            <w:r>
              <w:t>Tricks an authenticated user's browser into submitting an unwanted request to an application, exploiting the trust a site has in the user's session. Prevention: anti-CSRF tokens, same-site cookies.</w:t>
            </w:r>
          </w:p>
        </w:tc>
      </w:tr>
      <w:tr w:rsidR="00D967BE" w14:paraId="03E62924" w14:textId="77777777">
        <w:tblPrEx>
          <w:tblCellMar>
            <w:top w:w="0" w:type="dxa"/>
            <w:bottom w:w="0" w:type="dxa"/>
          </w:tblCellMar>
        </w:tblPrEx>
        <w:tc>
          <w:tcPr>
            <w:tcW w:w="2400" w:type="dxa"/>
            <w:tcMar>
              <w:top w:w="100" w:type="dxa"/>
              <w:left w:w="120" w:type="dxa"/>
              <w:bottom w:w="100" w:type="dxa"/>
              <w:right w:w="120" w:type="dxa"/>
            </w:tcMar>
          </w:tcPr>
          <w:p w14:paraId="662DC4AE" w14:textId="77777777" w:rsidR="00D967BE" w:rsidRDefault="00000000">
            <w:r>
              <w:t>Hardcoded Secrets</w:t>
            </w:r>
          </w:p>
        </w:tc>
        <w:tc>
          <w:tcPr>
            <w:tcW w:w="6960" w:type="dxa"/>
            <w:tcMar>
              <w:top w:w="100" w:type="dxa"/>
              <w:left w:w="120" w:type="dxa"/>
              <w:bottom w:w="100" w:type="dxa"/>
              <w:right w:w="120" w:type="dxa"/>
            </w:tcMar>
          </w:tcPr>
          <w:p w14:paraId="04DF41A6" w14:textId="77777777" w:rsidR="00D967BE" w:rsidRDefault="00000000">
            <w:r>
              <w:t>Passwords, API keys, or tokens embedded directly in source code, which can be exposed if the code is leaked or shared. Prevention: environment variables or secret managers.</w:t>
            </w:r>
          </w:p>
        </w:tc>
      </w:tr>
      <w:tr w:rsidR="00D967BE" w14:paraId="04387AD4" w14:textId="77777777">
        <w:tblPrEx>
          <w:tblCellMar>
            <w:top w:w="0" w:type="dxa"/>
            <w:bottom w:w="0" w:type="dxa"/>
          </w:tblCellMar>
        </w:tblPrEx>
        <w:tc>
          <w:tcPr>
            <w:tcW w:w="2400" w:type="dxa"/>
            <w:tcMar>
              <w:top w:w="100" w:type="dxa"/>
              <w:left w:w="120" w:type="dxa"/>
              <w:bottom w:w="100" w:type="dxa"/>
              <w:right w:w="120" w:type="dxa"/>
            </w:tcMar>
          </w:tcPr>
          <w:p w14:paraId="2FC50785" w14:textId="77777777" w:rsidR="00D967BE" w:rsidRDefault="00000000">
            <w:r>
              <w:t>Broken Access Control / Insecure Auth</w:t>
            </w:r>
          </w:p>
        </w:tc>
        <w:tc>
          <w:tcPr>
            <w:tcW w:w="6960" w:type="dxa"/>
            <w:tcMar>
              <w:top w:w="100" w:type="dxa"/>
              <w:left w:w="120" w:type="dxa"/>
              <w:bottom w:w="100" w:type="dxa"/>
              <w:right w:w="120" w:type="dxa"/>
            </w:tcMar>
          </w:tcPr>
          <w:p w14:paraId="34BE510F" w14:textId="77777777" w:rsidR="00D967BE" w:rsidRDefault="00000000">
            <w:r>
              <w:t>Occurs when an application fails to properly restrict what authenticated users are allowed to do, letting users act outside their intended permissions. Prevention: enforce authorization checks server-side on every request.</w:t>
            </w:r>
          </w:p>
        </w:tc>
      </w:tr>
    </w:tbl>
    <w:p w14:paraId="05CCCA58" w14:textId="77777777" w:rsidR="00D967BE" w:rsidRDefault="00D967BE">
      <w:pPr>
        <w:spacing w:before="200"/>
      </w:pPr>
    </w:p>
    <w:p w14:paraId="1C7B55B5" w14:textId="77777777" w:rsidR="00D967BE" w:rsidRDefault="00000000">
      <w:pPr>
        <w:pStyle w:val="Heading2"/>
        <w:spacing w:before="220" w:after="120"/>
      </w:pPr>
      <w:r>
        <w:lastRenderedPageBreak/>
        <w:t>A.3 Code Smell Patterns (Code Analysis Agent Reference)</w:t>
      </w:r>
    </w:p>
    <w:p w14:paraId="4293BC06" w14:textId="77777777" w:rsidR="00D967BE" w:rsidRDefault="00000000">
      <w:pPr>
        <w:spacing w:after="160" w:line="300" w:lineRule="auto"/>
      </w:pPr>
      <w:r>
        <w:rPr>
          <w:sz w:val="22"/>
          <w:szCs w:val="22"/>
        </w:rPr>
        <w:t>Alongside security vulnerabilities, the platform also targets general code quality issues, known as "code smells" — patterns that don't necessarily break the code but indicate poor design and reduce maintainability:</w:t>
      </w:r>
    </w:p>
    <w:p w14:paraId="38A0FFA8" w14:textId="77777777" w:rsidR="00D967BE" w:rsidRDefault="00000000">
      <w:pPr>
        <w:pStyle w:val="ListParagraph"/>
        <w:numPr>
          <w:ilvl w:val="0"/>
          <w:numId w:val="2"/>
        </w:numPr>
        <w:spacing w:after="100"/>
      </w:pPr>
      <w:r>
        <w:rPr>
          <w:sz w:val="22"/>
          <w:szCs w:val="22"/>
        </w:rPr>
        <w:t>Long Method / Long Function — a function doing too many things at once, making it hard to test and understand</w:t>
      </w:r>
    </w:p>
    <w:p w14:paraId="137CA2D4" w14:textId="77777777" w:rsidR="00D967BE" w:rsidRDefault="00000000">
      <w:pPr>
        <w:pStyle w:val="ListParagraph"/>
        <w:numPr>
          <w:ilvl w:val="0"/>
          <w:numId w:val="2"/>
        </w:numPr>
        <w:spacing w:after="100"/>
      </w:pPr>
      <w:r>
        <w:rPr>
          <w:sz w:val="22"/>
          <w:szCs w:val="22"/>
        </w:rPr>
        <w:t>Duplicate Code — the same logic repeated in multiple places instead of being reused</w:t>
      </w:r>
    </w:p>
    <w:p w14:paraId="2F7F6DD7" w14:textId="77777777" w:rsidR="00D967BE" w:rsidRDefault="00000000">
      <w:pPr>
        <w:pStyle w:val="ListParagraph"/>
        <w:numPr>
          <w:ilvl w:val="0"/>
          <w:numId w:val="2"/>
        </w:numPr>
        <w:spacing w:after="100"/>
      </w:pPr>
      <w:r>
        <w:rPr>
          <w:sz w:val="22"/>
          <w:szCs w:val="22"/>
        </w:rPr>
        <w:t>Poor Naming — variables, functions, or classes named ambiguously (e.g. "data1", "temp")</w:t>
      </w:r>
    </w:p>
    <w:p w14:paraId="46A5AE3E" w14:textId="77777777" w:rsidR="00D967BE" w:rsidRDefault="00000000">
      <w:pPr>
        <w:pStyle w:val="ListParagraph"/>
        <w:numPr>
          <w:ilvl w:val="0"/>
          <w:numId w:val="2"/>
        </w:numPr>
        <w:spacing w:after="100"/>
      </w:pPr>
      <w:r>
        <w:rPr>
          <w:sz w:val="22"/>
          <w:szCs w:val="22"/>
        </w:rPr>
        <w:t>High Cyclomatic Complexity — too many nested conditionals/branches in one function, making logic difficult to follow and test</w:t>
      </w:r>
    </w:p>
    <w:p w14:paraId="5D1A51E5" w14:textId="77777777" w:rsidR="00D967BE" w:rsidRDefault="00000000">
      <w:pPr>
        <w:pStyle w:val="ListParagraph"/>
        <w:numPr>
          <w:ilvl w:val="0"/>
          <w:numId w:val="2"/>
        </w:numPr>
        <w:spacing w:after="100"/>
      </w:pPr>
      <w:r>
        <w:rPr>
          <w:sz w:val="22"/>
          <w:szCs w:val="22"/>
        </w:rPr>
        <w:t>Tight Coupling — components overly dependent on each other's internal details, making changes risky and hard to isolate</w:t>
      </w:r>
    </w:p>
    <w:p w14:paraId="55C4A212" w14:textId="77777777" w:rsidR="00D967BE" w:rsidRDefault="00000000">
      <w:pPr>
        <w:pStyle w:val="Heading1"/>
        <w:spacing w:before="320" w:after="160"/>
      </w:pPr>
      <w:r>
        <w:t>Part B — RAG Architecture Study Notes</w:t>
      </w:r>
    </w:p>
    <w:p w14:paraId="738A6B3F" w14:textId="77777777" w:rsidR="00D967BE" w:rsidRDefault="00000000">
      <w:pPr>
        <w:pStyle w:val="Heading2"/>
        <w:spacing w:before="220" w:after="120"/>
      </w:pPr>
      <w:r>
        <w:t>B.1 What is RAG</w:t>
      </w:r>
    </w:p>
    <w:p w14:paraId="20414082" w14:textId="77777777" w:rsidR="00D967BE" w:rsidRDefault="00000000">
      <w:pPr>
        <w:spacing w:after="160" w:line="300" w:lineRule="auto"/>
      </w:pPr>
      <w:r>
        <w:rPr>
          <w:sz w:val="22"/>
          <w:szCs w:val="22"/>
        </w:rPr>
        <w:t>Retrieval-Augmented Generation (RAG) is an architecture that combines a language model with an external knowledge source. Instead of relying purely on what the model "remembers" from training, the system retrieves relevant, factual documents at query time and provides them as grounding context before generating a response. This reduces made-up or outdated answers and lets the system's knowledge be updated simply by updating the document collection, without retraining the model.</w:t>
      </w:r>
    </w:p>
    <w:p w14:paraId="02546F02" w14:textId="77777777" w:rsidR="00D967BE" w:rsidRDefault="00000000">
      <w:pPr>
        <w:pStyle w:val="Heading2"/>
        <w:spacing w:before="220" w:after="120"/>
      </w:pPr>
      <w:r>
        <w:t>B.2 Core Components of a RAG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967BE" w14:paraId="13DD5CEF" w14:textId="77777777">
        <w:tblPrEx>
          <w:tblCellMar>
            <w:top w:w="0" w:type="dxa"/>
            <w:bottom w:w="0" w:type="dxa"/>
          </w:tblCellMar>
        </w:tblPrEx>
        <w:tc>
          <w:tcPr>
            <w:tcW w:w="2400" w:type="dxa"/>
            <w:shd w:val="clear" w:color="auto" w:fill="1F3864"/>
            <w:tcMar>
              <w:top w:w="100" w:type="dxa"/>
              <w:left w:w="120" w:type="dxa"/>
              <w:bottom w:w="100" w:type="dxa"/>
              <w:right w:w="120" w:type="dxa"/>
            </w:tcMar>
          </w:tcPr>
          <w:p w14:paraId="7C33408B" w14:textId="77777777" w:rsidR="00D967BE" w:rsidRDefault="00000000">
            <w:r>
              <w:rPr>
                <w:b/>
                <w:bCs/>
                <w:color w:val="FFFFFF"/>
              </w:rPr>
              <w:t>Component</w:t>
            </w:r>
          </w:p>
        </w:tc>
        <w:tc>
          <w:tcPr>
            <w:tcW w:w="6960" w:type="dxa"/>
            <w:shd w:val="clear" w:color="auto" w:fill="1F3864"/>
            <w:tcMar>
              <w:top w:w="100" w:type="dxa"/>
              <w:left w:w="120" w:type="dxa"/>
              <w:bottom w:w="100" w:type="dxa"/>
              <w:right w:w="120" w:type="dxa"/>
            </w:tcMar>
          </w:tcPr>
          <w:p w14:paraId="554003C4" w14:textId="77777777" w:rsidR="00D967BE" w:rsidRDefault="00000000">
            <w:r>
              <w:rPr>
                <w:b/>
                <w:bCs/>
                <w:color w:val="FFFFFF"/>
              </w:rPr>
              <w:t>Role</w:t>
            </w:r>
          </w:p>
        </w:tc>
      </w:tr>
      <w:tr w:rsidR="00D967BE" w14:paraId="545F46B1" w14:textId="77777777">
        <w:tblPrEx>
          <w:tblCellMar>
            <w:top w:w="0" w:type="dxa"/>
            <w:bottom w:w="0" w:type="dxa"/>
          </w:tblCellMar>
        </w:tblPrEx>
        <w:tc>
          <w:tcPr>
            <w:tcW w:w="2400" w:type="dxa"/>
            <w:tcMar>
              <w:top w:w="100" w:type="dxa"/>
              <w:left w:w="120" w:type="dxa"/>
              <w:bottom w:w="100" w:type="dxa"/>
              <w:right w:w="120" w:type="dxa"/>
            </w:tcMar>
          </w:tcPr>
          <w:p w14:paraId="2E42F16D" w14:textId="77777777" w:rsidR="00D967BE" w:rsidRDefault="00000000">
            <w:r>
              <w:t>Chunking</w:t>
            </w:r>
          </w:p>
        </w:tc>
        <w:tc>
          <w:tcPr>
            <w:tcW w:w="6960" w:type="dxa"/>
            <w:tcMar>
              <w:top w:w="100" w:type="dxa"/>
              <w:left w:w="120" w:type="dxa"/>
              <w:bottom w:w="100" w:type="dxa"/>
              <w:right w:w="120" w:type="dxa"/>
            </w:tcMar>
          </w:tcPr>
          <w:p w14:paraId="5934A9B4" w14:textId="77777777" w:rsidR="00D967BE" w:rsidRDefault="00000000">
            <w:r>
              <w:t>Splitting large source documents (e.g. OWASP guidelines) into smaller, coherent sections so relevant portions can be retrieved individually rather than whole documents.</w:t>
            </w:r>
          </w:p>
        </w:tc>
      </w:tr>
      <w:tr w:rsidR="00D967BE" w14:paraId="7920E3E2" w14:textId="77777777">
        <w:tblPrEx>
          <w:tblCellMar>
            <w:top w:w="0" w:type="dxa"/>
            <w:bottom w:w="0" w:type="dxa"/>
          </w:tblCellMar>
        </w:tblPrEx>
        <w:tc>
          <w:tcPr>
            <w:tcW w:w="2400" w:type="dxa"/>
            <w:tcMar>
              <w:top w:w="100" w:type="dxa"/>
              <w:left w:w="120" w:type="dxa"/>
              <w:bottom w:w="100" w:type="dxa"/>
              <w:right w:w="120" w:type="dxa"/>
            </w:tcMar>
          </w:tcPr>
          <w:p w14:paraId="6627C825" w14:textId="77777777" w:rsidR="00D967BE" w:rsidRDefault="00000000">
            <w:r>
              <w:t>Embedding</w:t>
            </w:r>
          </w:p>
        </w:tc>
        <w:tc>
          <w:tcPr>
            <w:tcW w:w="6960" w:type="dxa"/>
            <w:tcMar>
              <w:top w:w="100" w:type="dxa"/>
              <w:left w:w="120" w:type="dxa"/>
              <w:bottom w:w="100" w:type="dxa"/>
              <w:right w:w="120" w:type="dxa"/>
            </w:tcMar>
          </w:tcPr>
          <w:p w14:paraId="1F361719" w14:textId="77777777" w:rsidR="00D967BE" w:rsidRDefault="00000000">
            <w:r>
              <w:t>Converting each chunk of text into a numerical vector that captures its meaning, allowing similarity to be measured mathematically rather than by exact keyword match.</w:t>
            </w:r>
          </w:p>
        </w:tc>
      </w:tr>
      <w:tr w:rsidR="00D967BE" w14:paraId="4C1B53E4" w14:textId="77777777">
        <w:tblPrEx>
          <w:tblCellMar>
            <w:top w:w="0" w:type="dxa"/>
            <w:bottom w:w="0" w:type="dxa"/>
          </w:tblCellMar>
        </w:tblPrEx>
        <w:tc>
          <w:tcPr>
            <w:tcW w:w="2400" w:type="dxa"/>
            <w:tcMar>
              <w:top w:w="100" w:type="dxa"/>
              <w:left w:w="120" w:type="dxa"/>
              <w:bottom w:w="100" w:type="dxa"/>
              <w:right w:w="120" w:type="dxa"/>
            </w:tcMar>
          </w:tcPr>
          <w:p w14:paraId="7DD35214" w14:textId="77777777" w:rsidR="00D967BE" w:rsidRDefault="00000000">
            <w:r>
              <w:t>Vector Store</w:t>
            </w:r>
          </w:p>
        </w:tc>
        <w:tc>
          <w:tcPr>
            <w:tcW w:w="6960" w:type="dxa"/>
            <w:tcMar>
              <w:top w:w="100" w:type="dxa"/>
              <w:left w:w="120" w:type="dxa"/>
              <w:bottom w:w="100" w:type="dxa"/>
              <w:right w:w="120" w:type="dxa"/>
            </w:tcMar>
          </w:tcPr>
          <w:p w14:paraId="2F00C892" w14:textId="77777777" w:rsidR="00D967BE" w:rsidRDefault="00000000">
            <w:r>
              <w:t>A database (e.g. Chroma, FAISS) that stores these embeddings and allows fast similarity search to find the chunks most relevant to a query.</w:t>
            </w:r>
          </w:p>
        </w:tc>
      </w:tr>
      <w:tr w:rsidR="00D967BE" w14:paraId="2FCA4971" w14:textId="77777777">
        <w:tblPrEx>
          <w:tblCellMar>
            <w:top w:w="0" w:type="dxa"/>
            <w:bottom w:w="0" w:type="dxa"/>
          </w:tblCellMar>
        </w:tblPrEx>
        <w:tc>
          <w:tcPr>
            <w:tcW w:w="2400" w:type="dxa"/>
            <w:tcMar>
              <w:top w:w="100" w:type="dxa"/>
              <w:left w:w="120" w:type="dxa"/>
              <w:bottom w:w="100" w:type="dxa"/>
              <w:right w:w="120" w:type="dxa"/>
            </w:tcMar>
          </w:tcPr>
          <w:p w14:paraId="4F6E3D46" w14:textId="77777777" w:rsidR="00D967BE" w:rsidRDefault="00000000">
            <w:r>
              <w:t>Retrieval</w:t>
            </w:r>
          </w:p>
        </w:tc>
        <w:tc>
          <w:tcPr>
            <w:tcW w:w="6960" w:type="dxa"/>
            <w:tcMar>
              <w:top w:w="100" w:type="dxa"/>
              <w:left w:w="120" w:type="dxa"/>
              <w:bottom w:w="100" w:type="dxa"/>
              <w:right w:w="120" w:type="dxa"/>
            </w:tcMar>
          </w:tcPr>
          <w:p w14:paraId="53319267" w14:textId="77777777" w:rsidR="00D967BE" w:rsidRDefault="00000000">
            <w:r>
              <w:t>Given a new query (e.g. a flagged code issue), the system searches the vector store and pulls back the top-matching chunks of secure coding guidance.</w:t>
            </w:r>
          </w:p>
        </w:tc>
      </w:tr>
      <w:tr w:rsidR="00D967BE" w14:paraId="5D85617A" w14:textId="77777777">
        <w:tblPrEx>
          <w:tblCellMar>
            <w:top w:w="0" w:type="dxa"/>
            <w:bottom w:w="0" w:type="dxa"/>
          </w:tblCellMar>
        </w:tblPrEx>
        <w:tc>
          <w:tcPr>
            <w:tcW w:w="2400" w:type="dxa"/>
            <w:tcMar>
              <w:top w:w="100" w:type="dxa"/>
              <w:left w:w="120" w:type="dxa"/>
              <w:bottom w:w="100" w:type="dxa"/>
              <w:right w:w="120" w:type="dxa"/>
            </w:tcMar>
          </w:tcPr>
          <w:p w14:paraId="7E704D96" w14:textId="77777777" w:rsidR="00D967BE" w:rsidRDefault="00000000">
            <w:r>
              <w:t>Grounded Generation</w:t>
            </w:r>
          </w:p>
        </w:tc>
        <w:tc>
          <w:tcPr>
            <w:tcW w:w="6960" w:type="dxa"/>
            <w:tcMar>
              <w:top w:w="100" w:type="dxa"/>
              <w:left w:w="120" w:type="dxa"/>
              <w:bottom w:w="100" w:type="dxa"/>
              <w:right w:w="120" w:type="dxa"/>
            </w:tcMar>
          </w:tcPr>
          <w:p w14:paraId="355D7605" w14:textId="77777777" w:rsidR="00D967BE" w:rsidRDefault="00000000">
            <w:r>
              <w:t>The retrieved chunks are passed to the language model along with the query, so its response is grounded in real, retrieved guidance rather than memory alone.</w:t>
            </w:r>
          </w:p>
        </w:tc>
      </w:tr>
    </w:tbl>
    <w:p w14:paraId="60F95FFB" w14:textId="77777777" w:rsidR="00D967BE" w:rsidRDefault="00D967BE">
      <w:pPr>
        <w:spacing w:before="200"/>
      </w:pPr>
    </w:p>
    <w:p w14:paraId="59E41824" w14:textId="77777777" w:rsidR="00D967BE" w:rsidRDefault="00000000">
      <w:pPr>
        <w:pStyle w:val="Heading2"/>
        <w:spacing w:before="220" w:after="120"/>
      </w:pPr>
      <w:r>
        <w:t>B.3 Why RAG Fits This Project</w:t>
      </w:r>
    </w:p>
    <w:p w14:paraId="1E7F15DD" w14:textId="77777777" w:rsidR="00D967BE" w:rsidRDefault="00000000">
      <w:pPr>
        <w:spacing w:after="160" w:line="300" w:lineRule="auto"/>
      </w:pPr>
      <w:r>
        <w:rPr>
          <w:sz w:val="22"/>
          <w:szCs w:val="22"/>
        </w:rPr>
        <w:lastRenderedPageBreak/>
        <w:t>The Security Vulnerability Agent and Conversational Code Assistant both need to give advice grounded in established secure coding standards, not just general knowledge. RAG allows the OWASP documentation to be indexed once, then retrieved on demand whenever a specific vulnerability type is being discussed — keeping the agent's advice consistent, verifiable, and traceable back to a real source document.</w:t>
      </w:r>
    </w:p>
    <w:p w14:paraId="0C7691A3" w14:textId="77777777" w:rsidR="00D967BE" w:rsidRDefault="00000000">
      <w:pPr>
        <w:pStyle w:val="Heading1"/>
        <w:spacing w:before="320" w:after="160"/>
      </w:pPr>
      <w:r>
        <w:t>Part C — System Architecture Design</w:t>
      </w:r>
    </w:p>
    <w:p w14:paraId="3BBDBF3B" w14:textId="77777777" w:rsidR="00D967BE" w:rsidRDefault="00000000">
      <w:pPr>
        <w:pStyle w:val="Heading2"/>
        <w:spacing w:before="220" w:after="120"/>
      </w:pPr>
      <w:r>
        <w:t>C.1 Agent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967BE" w14:paraId="21EF10ED" w14:textId="77777777">
        <w:tblPrEx>
          <w:tblCellMar>
            <w:top w:w="0" w:type="dxa"/>
            <w:bottom w:w="0" w:type="dxa"/>
          </w:tblCellMar>
        </w:tblPrEx>
        <w:tc>
          <w:tcPr>
            <w:tcW w:w="2400" w:type="dxa"/>
            <w:shd w:val="clear" w:color="auto" w:fill="1F3864"/>
            <w:tcMar>
              <w:top w:w="100" w:type="dxa"/>
              <w:left w:w="120" w:type="dxa"/>
              <w:bottom w:w="100" w:type="dxa"/>
              <w:right w:w="120" w:type="dxa"/>
            </w:tcMar>
          </w:tcPr>
          <w:p w14:paraId="795E09EE" w14:textId="77777777" w:rsidR="00D967BE" w:rsidRDefault="00000000">
            <w:r>
              <w:rPr>
                <w:b/>
                <w:bCs/>
                <w:color w:val="FFFFFF"/>
              </w:rPr>
              <w:t>Agent</w:t>
            </w:r>
          </w:p>
        </w:tc>
        <w:tc>
          <w:tcPr>
            <w:tcW w:w="6960" w:type="dxa"/>
            <w:shd w:val="clear" w:color="auto" w:fill="1F3864"/>
            <w:tcMar>
              <w:top w:w="100" w:type="dxa"/>
              <w:left w:w="120" w:type="dxa"/>
              <w:bottom w:w="100" w:type="dxa"/>
              <w:right w:w="120" w:type="dxa"/>
            </w:tcMar>
          </w:tcPr>
          <w:p w14:paraId="27AFE4F3" w14:textId="77777777" w:rsidR="00D967BE" w:rsidRDefault="00000000">
            <w:r>
              <w:rPr>
                <w:b/>
                <w:bCs/>
                <w:color w:val="FFFFFF"/>
              </w:rPr>
              <w:t>Responsibility</w:t>
            </w:r>
          </w:p>
        </w:tc>
      </w:tr>
      <w:tr w:rsidR="00D967BE" w14:paraId="56CC10CB" w14:textId="77777777">
        <w:tblPrEx>
          <w:tblCellMar>
            <w:top w:w="0" w:type="dxa"/>
            <w:bottom w:w="0" w:type="dxa"/>
          </w:tblCellMar>
        </w:tblPrEx>
        <w:tc>
          <w:tcPr>
            <w:tcW w:w="2400" w:type="dxa"/>
            <w:tcMar>
              <w:top w:w="100" w:type="dxa"/>
              <w:left w:w="120" w:type="dxa"/>
              <w:bottom w:w="100" w:type="dxa"/>
              <w:right w:w="120" w:type="dxa"/>
            </w:tcMar>
          </w:tcPr>
          <w:p w14:paraId="6B6914FC" w14:textId="77777777" w:rsidR="00D967BE" w:rsidRDefault="00000000">
            <w:r>
              <w:t>Code Analysis Agent</w:t>
            </w:r>
          </w:p>
        </w:tc>
        <w:tc>
          <w:tcPr>
            <w:tcW w:w="6960" w:type="dxa"/>
            <w:tcMar>
              <w:top w:w="100" w:type="dxa"/>
              <w:left w:w="120" w:type="dxa"/>
              <w:bottom w:w="100" w:type="dxa"/>
              <w:right w:w="120" w:type="dxa"/>
            </w:tcMar>
          </w:tcPr>
          <w:p w14:paraId="3956ECED" w14:textId="77777777" w:rsidR="00D967BE" w:rsidRDefault="00000000">
            <w:r>
              <w:t>Reviews code structure; detects code smells, design anti-patterns, and complexity issues</w:t>
            </w:r>
          </w:p>
        </w:tc>
      </w:tr>
      <w:tr w:rsidR="00D967BE" w14:paraId="0ADF04A1" w14:textId="77777777">
        <w:tblPrEx>
          <w:tblCellMar>
            <w:top w:w="0" w:type="dxa"/>
            <w:bottom w:w="0" w:type="dxa"/>
          </w:tblCellMar>
        </w:tblPrEx>
        <w:tc>
          <w:tcPr>
            <w:tcW w:w="2400" w:type="dxa"/>
            <w:tcMar>
              <w:top w:w="100" w:type="dxa"/>
              <w:left w:w="120" w:type="dxa"/>
              <w:bottom w:w="100" w:type="dxa"/>
              <w:right w:w="120" w:type="dxa"/>
            </w:tcMar>
          </w:tcPr>
          <w:p w14:paraId="6DAD2DA2" w14:textId="77777777" w:rsidR="00D967BE" w:rsidRDefault="00000000">
            <w:r>
              <w:t>Security Vulnerability Agent</w:t>
            </w:r>
          </w:p>
        </w:tc>
        <w:tc>
          <w:tcPr>
            <w:tcW w:w="6960" w:type="dxa"/>
            <w:tcMar>
              <w:top w:w="100" w:type="dxa"/>
              <w:left w:w="120" w:type="dxa"/>
              <w:bottom w:w="100" w:type="dxa"/>
              <w:right w:w="120" w:type="dxa"/>
            </w:tcMar>
          </w:tcPr>
          <w:p w14:paraId="27BCA3A7" w14:textId="77777777" w:rsidR="00D967BE" w:rsidRDefault="00000000">
            <w:r>
              <w:t>Scans for OWASP-standard vulnerabilities, grounded in the RAG knowledge base</w:t>
            </w:r>
          </w:p>
        </w:tc>
      </w:tr>
      <w:tr w:rsidR="00D967BE" w14:paraId="0FED4E0C" w14:textId="77777777">
        <w:tblPrEx>
          <w:tblCellMar>
            <w:top w:w="0" w:type="dxa"/>
            <w:bottom w:w="0" w:type="dxa"/>
          </w:tblCellMar>
        </w:tblPrEx>
        <w:tc>
          <w:tcPr>
            <w:tcW w:w="2400" w:type="dxa"/>
            <w:tcMar>
              <w:top w:w="100" w:type="dxa"/>
              <w:left w:w="120" w:type="dxa"/>
              <w:bottom w:w="100" w:type="dxa"/>
              <w:right w:w="120" w:type="dxa"/>
            </w:tcMar>
          </w:tcPr>
          <w:p w14:paraId="28C1487E" w14:textId="77777777" w:rsidR="00D967BE" w:rsidRDefault="00000000">
            <w:r>
              <w:t>Remediation Agent</w:t>
            </w:r>
          </w:p>
        </w:tc>
        <w:tc>
          <w:tcPr>
            <w:tcW w:w="6960" w:type="dxa"/>
            <w:tcMar>
              <w:top w:w="100" w:type="dxa"/>
              <w:left w:w="120" w:type="dxa"/>
              <w:bottom w:w="100" w:type="dxa"/>
              <w:right w:w="120" w:type="dxa"/>
            </w:tcMar>
          </w:tcPr>
          <w:p w14:paraId="1A06BF80" w14:textId="77777777" w:rsidR="00D967BE" w:rsidRDefault="00000000">
            <w:r>
              <w:t>Generates corrected code examples and fix explanations per finding</w:t>
            </w:r>
          </w:p>
        </w:tc>
      </w:tr>
      <w:tr w:rsidR="00D967BE" w14:paraId="24D2CD05" w14:textId="77777777">
        <w:tblPrEx>
          <w:tblCellMar>
            <w:top w:w="0" w:type="dxa"/>
            <w:bottom w:w="0" w:type="dxa"/>
          </w:tblCellMar>
        </w:tblPrEx>
        <w:tc>
          <w:tcPr>
            <w:tcW w:w="2400" w:type="dxa"/>
            <w:tcMar>
              <w:top w:w="100" w:type="dxa"/>
              <w:left w:w="120" w:type="dxa"/>
              <w:bottom w:w="100" w:type="dxa"/>
              <w:right w:w="120" w:type="dxa"/>
            </w:tcMar>
          </w:tcPr>
          <w:p w14:paraId="1DD7CCD9" w14:textId="77777777" w:rsidR="00D967BE" w:rsidRDefault="00000000">
            <w:r>
              <w:t>PR Summary Agent</w:t>
            </w:r>
          </w:p>
        </w:tc>
        <w:tc>
          <w:tcPr>
            <w:tcW w:w="6960" w:type="dxa"/>
            <w:tcMar>
              <w:top w:w="100" w:type="dxa"/>
              <w:left w:w="120" w:type="dxa"/>
              <w:bottom w:w="100" w:type="dxa"/>
              <w:right w:w="120" w:type="dxa"/>
            </w:tcMar>
          </w:tcPr>
          <w:p w14:paraId="7ADA53EE" w14:textId="77777777" w:rsidR="00D967BE" w:rsidRDefault="00000000">
            <w:r>
              <w:t>Compiles all findings into a structured, human-readable review summary</w:t>
            </w:r>
          </w:p>
        </w:tc>
      </w:tr>
      <w:tr w:rsidR="00D967BE" w14:paraId="2B01213E" w14:textId="77777777">
        <w:tblPrEx>
          <w:tblCellMar>
            <w:top w:w="0" w:type="dxa"/>
            <w:bottom w:w="0" w:type="dxa"/>
          </w:tblCellMar>
        </w:tblPrEx>
        <w:tc>
          <w:tcPr>
            <w:tcW w:w="2400" w:type="dxa"/>
            <w:tcMar>
              <w:top w:w="100" w:type="dxa"/>
              <w:left w:w="120" w:type="dxa"/>
              <w:bottom w:w="100" w:type="dxa"/>
              <w:right w:w="120" w:type="dxa"/>
            </w:tcMar>
          </w:tcPr>
          <w:p w14:paraId="46100086" w14:textId="77777777" w:rsidR="00D967BE" w:rsidRDefault="00000000">
            <w:r>
              <w:t>Conversational Code Assistant</w:t>
            </w:r>
          </w:p>
        </w:tc>
        <w:tc>
          <w:tcPr>
            <w:tcW w:w="6960" w:type="dxa"/>
            <w:tcMar>
              <w:top w:w="100" w:type="dxa"/>
              <w:left w:w="120" w:type="dxa"/>
              <w:bottom w:w="100" w:type="dxa"/>
              <w:right w:w="120" w:type="dxa"/>
            </w:tcMar>
          </w:tcPr>
          <w:p w14:paraId="6EF0E7FF" w14:textId="77777777" w:rsidR="00D967BE" w:rsidRDefault="00000000">
            <w:r>
              <w:t>RAG-powered Q&amp;A for follow-up developer questions</w:t>
            </w:r>
          </w:p>
        </w:tc>
      </w:tr>
    </w:tbl>
    <w:p w14:paraId="656507E3" w14:textId="77777777" w:rsidR="00D967BE" w:rsidRDefault="00D967BE">
      <w:pPr>
        <w:spacing w:before="200"/>
      </w:pPr>
    </w:p>
    <w:p w14:paraId="6FEC6A6D" w14:textId="77777777" w:rsidR="00D967BE" w:rsidRDefault="00000000">
      <w:pPr>
        <w:pStyle w:val="Heading2"/>
        <w:spacing w:before="220" w:after="120"/>
      </w:pPr>
      <w:r>
        <w:t>C.2 Orchestration Flow (Sketch)</w:t>
      </w:r>
    </w:p>
    <w:p w14:paraId="5BBBC511" w14:textId="77777777" w:rsidR="00D967BE" w:rsidRDefault="00000000">
      <w:pPr>
        <w:spacing w:after="160" w:line="300" w:lineRule="auto"/>
      </w:pPr>
      <w:r>
        <w:rPr>
          <w:sz w:val="22"/>
          <w:szCs w:val="22"/>
        </w:rPr>
        <w:t>The diagram below shows how submitted code flows through the agent pipeline, and how the RAG knowledge base grounds both the Security Vulnerability Agent and the Conversational Code Assistant.</w:t>
      </w:r>
    </w:p>
    <w:p w14:paraId="4D84058D" w14:textId="77777777" w:rsidR="00D967BE" w:rsidRDefault="00000000">
      <w:pPr>
        <w:spacing w:before="120" w:after="120"/>
        <w:jc w:val="center"/>
      </w:pPr>
      <w:r>
        <w:rPr>
          <w:noProof/>
        </w:rPr>
        <w:lastRenderedPageBreak/>
        <w:drawing>
          <wp:inline distT="0" distB="0" distL="0" distR="0" wp14:anchorId="2688BA8B" wp14:editId="66691C5E">
            <wp:extent cx="5905500" cy="401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019550"/>
                    </a:xfrm>
                    <a:prstGeom prst="rect">
                      <a:avLst/>
                    </a:prstGeom>
                  </pic:spPr>
                </pic:pic>
              </a:graphicData>
            </a:graphic>
          </wp:inline>
        </w:drawing>
      </w:r>
    </w:p>
    <w:p w14:paraId="5CD5CD09" w14:textId="77777777" w:rsidR="00D967BE" w:rsidRDefault="00000000">
      <w:pPr>
        <w:pStyle w:val="Heading2"/>
        <w:spacing w:before="220" w:after="120"/>
      </w:pPr>
      <w:r>
        <w:t>C.3 Core Data Model</w:t>
      </w:r>
    </w:p>
    <w:p w14:paraId="1127B1CE" w14:textId="77777777" w:rsidR="00D967BE" w:rsidRDefault="00000000">
      <w:pPr>
        <w:spacing w:after="160" w:line="300" w:lineRule="auto"/>
      </w:pPr>
      <w:r>
        <w:rPr>
          <w:sz w:val="22"/>
          <w:szCs w:val="22"/>
        </w:rPr>
        <w:t>A single structured object type is used to pass information between agents, ensuring predictable, machine-readable communication across the pipeline:</w:t>
      </w:r>
    </w:p>
    <w:p w14:paraId="3ADCF604" w14:textId="77777777" w:rsidR="00D967BE" w:rsidRDefault="00000000">
      <w:pPr>
        <w:pStyle w:val="ListParagraph"/>
        <w:numPr>
          <w:ilvl w:val="0"/>
          <w:numId w:val="2"/>
        </w:numPr>
        <w:spacing w:after="100"/>
      </w:pPr>
      <w:r>
        <w:rPr>
          <w:sz w:val="22"/>
          <w:szCs w:val="22"/>
        </w:rPr>
        <w:t xml:space="preserve">Finding — </w:t>
      </w:r>
      <w:proofErr w:type="gramStart"/>
      <w:r>
        <w:rPr>
          <w:sz w:val="22"/>
          <w:szCs w:val="22"/>
        </w:rPr>
        <w:t>{ type</w:t>
      </w:r>
      <w:proofErr w:type="gramEnd"/>
      <w:r>
        <w:rPr>
          <w:sz w:val="22"/>
          <w:szCs w:val="22"/>
        </w:rPr>
        <w:t xml:space="preserve">, severity, </w:t>
      </w:r>
      <w:proofErr w:type="spellStart"/>
      <w:r>
        <w:rPr>
          <w:sz w:val="22"/>
          <w:szCs w:val="22"/>
        </w:rPr>
        <w:t>affected_line</w:t>
      </w:r>
      <w:proofErr w:type="spellEnd"/>
      <w:r>
        <w:rPr>
          <w:sz w:val="22"/>
          <w:szCs w:val="22"/>
        </w:rPr>
        <w:t xml:space="preserve">(s), description, </w:t>
      </w:r>
      <w:proofErr w:type="spellStart"/>
      <w:r>
        <w:rPr>
          <w:sz w:val="22"/>
          <w:szCs w:val="22"/>
        </w:rPr>
        <w:t>suggested_fix</w:t>
      </w:r>
      <w:proofErr w:type="spellEnd"/>
      <w:r>
        <w:rPr>
          <w:sz w:val="22"/>
          <w:szCs w:val="22"/>
        </w:rPr>
        <w:t xml:space="preserve">, </w:t>
      </w:r>
      <w:proofErr w:type="spellStart"/>
      <w:r>
        <w:rPr>
          <w:sz w:val="22"/>
          <w:szCs w:val="22"/>
        </w:rPr>
        <w:t>source_</w:t>
      </w:r>
      <w:proofErr w:type="gramStart"/>
      <w:r>
        <w:rPr>
          <w:sz w:val="22"/>
          <w:szCs w:val="22"/>
        </w:rPr>
        <w:t>agent</w:t>
      </w:r>
      <w:proofErr w:type="spellEnd"/>
      <w:r>
        <w:rPr>
          <w:sz w:val="22"/>
          <w:szCs w:val="22"/>
        </w:rPr>
        <w:t xml:space="preserve"> }</w:t>
      </w:r>
      <w:proofErr w:type="gramEnd"/>
    </w:p>
    <w:p w14:paraId="49D6CA8C" w14:textId="77777777" w:rsidR="00D967BE" w:rsidRDefault="00000000">
      <w:pPr>
        <w:spacing w:after="160" w:line="300" w:lineRule="auto"/>
      </w:pPr>
      <w:r>
        <w:rPr>
          <w:sz w:val="22"/>
          <w:szCs w:val="22"/>
        </w:rPr>
        <w:t xml:space="preserve">Every agent that detects an issue (Code Analysis Agent, Security Vulnerability Agent) produces a list of Finding objects. The Remediation Agent consumes these and appends a </w:t>
      </w:r>
      <w:proofErr w:type="spellStart"/>
      <w:r>
        <w:rPr>
          <w:sz w:val="22"/>
          <w:szCs w:val="22"/>
        </w:rPr>
        <w:t>suggested_fix</w:t>
      </w:r>
      <w:proofErr w:type="spellEnd"/>
      <w:r>
        <w:rPr>
          <w:sz w:val="22"/>
          <w:szCs w:val="22"/>
        </w:rPr>
        <w:t>. The PR Summary Agent consumes the enriched list and produces the final human-readable report.</w:t>
      </w:r>
    </w:p>
    <w:p w14:paraId="5025478E" w14:textId="77777777" w:rsidR="00D967BE" w:rsidRDefault="00000000">
      <w:pPr>
        <w:pStyle w:val="Heading2"/>
        <w:spacing w:before="220" w:after="120"/>
      </w:pPr>
      <w:r>
        <w:t>C.4 Technology Stack Decisions</w:t>
      </w:r>
    </w:p>
    <w:p w14:paraId="4137059A" w14:textId="77777777" w:rsidR="00D967BE" w:rsidRDefault="00000000">
      <w:pPr>
        <w:pStyle w:val="ListParagraph"/>
        <w:numPr>
          <w:ilvl w:val="0"/>
          <w:numId w:val="2"/>
        </w:numPr>
        <w:spacing w:after="100"/>
      </w:pPr>
      <w:r>
        <w:rPr>
          <w:sz w:val="22"/>
          <w:szCs w:val="22"/>
        </w:rPr>
        <w:t xml:space="preserve">Backend: </w:t>
      </w:r>
      <w:proofErr w:type="spellStart"/>
      <w:r>
        <w:rPr>
          <w:sz w:val="22"/>
          <w:szCs w:val="22"/>
        </w:rPr>
        <w:t>FastAPI</w:t>
      </w:r>
      <w:proofErr w:type="spellEnd"/>
      <w:r>
        <w:rPr>
          <w:sz w:val="22"/>
          <w:szCs w:val="22"/>
        </w:rPr>
        <w:t xml:space="preserve"> (Python) — lightweight, async-friendly, easy agent orchestration</w:t>
      </w:r>
    </w:p>
    <w:p w14:paraId="76DEB7D0" w14:textId="77777777" w:rsidR="00D967BE" w:rsidRDefault="00000000">
      <w:pPr>
        <w:pStyle w:val="ListParagraph"/>
        <w:numPr>
          <w:ilvl w:val="0"/>
          <w:numId w:val="2"/>
        </w:numPr>
        <w:spacing w:after="100"/>
      </w:pPr>
      <w:r>
        <w:rPr>
          <w:sz w:val="22"/>
          <w:szCs w:val="22"/>
        </w:rPr>
        <w:t>Vector Store: Chroma — free, local, simple to set up for a project of this scale</w:t>
      </w:r>
    </w:p>
    <w:p w14:paraId="593EA2B8" w14:textId="77777777" w:rsidR="00D967BE" w:rsidRDefault="00000000">
      <w:pPr>
        <w:pStyle w:val="ListParagraph"/>
        <w:numPr>
          <w:ilvl w:val="0"/>
          <w:numId w:val="2"/>
        </w:numPr>
        <w:spacing w:after="100"/>
      </w:pPr>
      <w:r>
        <w:rPr>
          <w:sz w:val="22"/>
          <w:szCs w:val="22"/>
        </w:rPr>
        <w:t>Frontend: React — component-based UI for submission and findings display</w:t>
      </w:r>
    </w:p>
    <w:p w14:paraId="52F545EF" w14:textId="77777777" w:rsidR="00D967BE" w:rsidRDefault="00000000">
      <w:pPr>
        <w:pStyle w:val="ListParagraph"/>
        <w:numPr>
          <w:ilvl w:val="0"/>
          <w:numId w:val="2"/>
        </w:numPr>
        <w:spacing w:after="100"/>
      </w:pPr>
      <w:r>
        <w:rPr>
          <w:sz w:val="22"/>
          <w:szCs w:val="22"/>
        </w:rPr>
        <w:t>Development Environment: Google Antigravity — agent-assisted orchestration for building and testing the pipeline</w:t>
      </w:r>
    </w:p>
    <w:sectPr w:rsidR="00D967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D03"/>
    <w:multiLevelType w:val="hybridMultilevel"/>
    <w:tmpl w:val="2B1C3F70"/>
    <w:lvl w:ilvl="0" w:tplc="3022DEAE">
      <w:start w:val="1"/>
      <w:numFmt w:val="bullet"/>
      <w:lvlText w:val="•"/>
      <w:lvlJc w:val="left"/>
      <w:pPr>
        <w:ind w:left="420" w:hanging="260"/>
      </w:pPr>
    </w:lvl>
    <w:lvl w:ilvl="1" w:tplc="3AA2C3B6">
      <w:numFmt w:val="decimal"/>
      <w:lvlText w:val=""/>
      <w:lvlJc w:val="left"/>
    </w:lvl>
    <w:lvl w:ilvl="2" w:tplc="B1A20A98">
      <w:numFmt w:val="decimal"/>
      <w:lvlText w:val=""/>
      <w:lvlJc w:val="left"/>
    </w:lvl>
    <w:lvl w:ilvl="3" w:tplc="A950F844">
      <w:numFmt w:val="decimal"/>
      <w:lvlText w:val=""/>
      <w:lvlJc w:val="left"/>
    </w:lvl>
    <w:lvl w:ilvl="4" w:tplc="E0D61640">
      <w:numFmt w:val="decimal"/>
      <w:lvlText w:val=""/>
      <w:lvlJc w:val="left"/>
    </w:lvl>
    <w:lvl w:ilvl="5" w:tplc="EF10BF00">
      <w:numFmt w:val="decimal"/>
      <w:lvlText w:val=""/>
      <w:lvlJc w:val="left"/>
    </w:lvl>
    <w:lvl w:ilvl="6" w:tplc="D57208CC">
      <w:numFmt w:val="decimal"/>
      <w:lvlText w:val=""/>
      <w:lvlJc w:val="left"/>
    </w:lvl>
    <w:lvl w:ilvl="7" w:tplc="F9049C44">
      <w:numFmt w:val="decimal"/>
      <w:lvlText w:val=""/>
      <w:lvlJc w:val="left"/>
    </w:lvl>
    <w:lvl w:ilvl="8" w:tplc="533217DE">
      <w:numFmt w:val="decimal"/>
      <w:lvlText w:val=""/>
      <w:lvlJc w:val="left"/>
    </w:lvl>
  </w:abstractNum>
  <w:abstractNum w:abstractNumId="1" w15:restartNumberingAfterBreak="0">
    <w:nsid w:val="36FF22FE"/>
    <w:multiLevelType w:val="hybridMultilevel"/>
    <w:tmpl w:val="FC329B98"/>
    <w:lvl w:ilvl="0" w:tplc="9C18C26A">
      <w:start w:val="1"/>
      <w:numFmt w:val="bullet"/>
      <w:lvlText w:val="●"/>
      <w:lvlJc w:val="left"/>
      <w:pPr>
        <w:ind w:left="720" w:hanging="360"/>
      </w:pPr>
    </w:lvl>
    <w:lvl w:ilvl="1" w:tplc="FB4064E6">
      <w:start w:val="1"/>
      <w:numFmt w:val="bullet"/>
      <w:lvlText w:val="○"/>
      <w:lvlJc w:val="left"/>
      <w:pPr>
        <w:ind w:left="1440" w:hanging="360"/>
      </w:pPr>
    </w:lvl>
    <w:lvl w:ilvl="2" w:tplc="2A4CF30C">
      <w:start w:val="1"/>
      <w:numFmt w:val="bullet"/>
      <w:lvlText w:val="■"/>
      <w:lvlJc w:val="left"/>
      <w:pPr>
        <w:ind w:left="2160" w:hanging="360"/>
      </w:pPr>
    </w:lvl>
    <w:lvl w:ilvl="3" w:tplc="B97A0D2C">
      <w:start w:val="1"/>
      <w:numFmt w:val="bullet"/>
      <w:lvlText w:val="●"/>
      <w:lvlJc w:val="left"/>
      <w:pPr>
        <w:ind w:left="2880" w:hanging="360"/>
      </w:pPr>
    </w:lvl>
    <w:lvl w:ilvl="4" w:tplc="D59653C6">
      <w:start w:val="1"/>
      <w:numFmt w:val="bullet"/>
      <w:lvlText w:val="○"/>
      <w:lvlJc w:val="left"/>
      <w:pPr>
        <w:ind w:left="3600" w:hanging="360"/>
      </w:pPr>
    </w:lvl>
    <w:lvl w:ilvl="5" w:tplc="64F2FF0A">
      <w:start w:val="1"/>
      <w:numFmt w:val="bullet"/>
      <w:lvlText w:val="■"/>
      <w:lvlJc w:val="left"/>
      <w:pPr>
        <w:ind w:left="4320" w:hanging="360"/>
      </w:pPr>
    </w:lvl>
    <w:lvl w:ilvl="6" w:tplc="D93C66FE">
      <w:start w:val="1"/>
      <w:numFmt w:val="bullet"/>
      <w:lvlText w:val="●"/>
      <w:lvlJc w:val="left"/>
      <w:pPr>
        <w:ind w:left="5040" w:hanging="360"/>
      </w:pPr>
    </w:lvl>
    <w:lvl w:ilvl="7" w:tplc="8084EFC8">
      <w:start w:val="1"/>
      <w:numFmt w:val="bullet"/>
      <w:lvlText w:val="●"/>
      <w:lvlJc w:val="left"/>
      <w:pPr>
        <w:ind w:left="5760" w:hanging="360"/>
      </w:pPr>
    </w:lvl>
    <w:lvl w:ilvl="8" w:tplc="6F882090">
      <w:start w:val="1"/>
      <w:numFmt w:val="bullet"/>
      <w:lvlText w:val="●"/>
      <w:lvlJc w:val="left"/>
      <w:pPr>
        <w:ind w:left="6480" w:hanging="360"/>
      </w:pPr>
    </w:lvl>
  </w:abstractNum>
  <w:num w:numId="1" w16cid:durableId="863598390">
    <w:abstractNumId w:val="1"/>
    <w:lvlOverride w:ilvl="0">
      <w:startOverride w:val="1"/>
    </w:lvlOverride>
  </w:num>
  <w:num w:numId="2" w16cid:durableId="2076395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7BE"/>
    <w:rsid w:val="00D967BE"/>
    <w:rsid w:val="00F66AB0"/>
    <w:rsid w:val="00FD2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09DCA"/>
  <w15:docId w15:val="{7EAC06E2-CA89-4C9C-9DFA-800DE6EC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991</Words>
  <Characters>5650</Characters>
  <Application>Microsoft Office Word</Application>
  <DocSecurity>0</DocSecurity>
  <Lines>47</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Kishan</cp:lastModifiedBy>
  <cp:revision>2</cp:revision>
  <dcterms:created xsi:type="dcterms:W3CDTF">2026-08-19T18:11:00Z</dcterms:created>
  <dcterms:modified xsi:type="dcterms:W3CDTF">2026-08-19T18:11:00Z</dcterms:modified>
</cp:coreProperties>
</file>