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6"/>
          <w:szCs w:val="36"/>
        </w:rPr>
        <w:t xml:space="preserve">Milestone 1 Completion Report</w:t>
      </w:r>
    </w:p>
    <w:p>
      <w:pPr>
        <w:spacing w:after="40"/>
        <w:jc w:val="center"/>
      </w:pPr>
      <w:r>
        <w:rPr>
          <w:color w:val="44546A"/>
          <w:sz w:val="26"/>
          <w:szCs w:val="26"/>
        </w:rPr>
        <w:t xml:space="preserve">AI Code Review &amp; Security Analysis Agent</w:t>
      </w:r>
    </w:p>
    <w:p>
      <w:pPr>
        <w:pBdr>
          <w:bottom w:val="single" w:color="1F3864" w:sz="8" w:space="8"/>
        </w:pBdr>
        <w:spacing w:after="300"/>
        <w:jc w:val="center"/>
      </w:pPr>
      <w:r>
        <w:rPr>
          <w:i/>
          <w:iCs/>
          <w:color w:val="666666"/>
          <w:sz w:val="20"/>
          <w:szCs w:val="20"/>
        </w:rPr>
        <w:t xml:space="preserve">Multi-Agent Pipeline for Automated Code Quality &amp; Security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F3864" w:val="clear"/>
            <w:tcMar>
              <w:top w:type="dxa" w:w="100"/>
              <w:left w:type="dxa" w:w="120"/>
              <w:bottom w:type="dxa" w:w="100"/>
              <w:right w:type="dxa" w:w="120"/>
            </w:tcMar>
          </w:tcPr>
          <w:p>
            <w:r>
              <w:rPr>
                <w:b/>
                <w:bCs/>
                <w:color w:val="FFFFFF"/>
                <w:sz w:val="20"/>
                <w:szCs w:val="20"/>
              </w:rPr>
              <w:t xml:space="preserve">Student Name</w:t>
            </w:r>
          </w:p>
        </w:tc>
        <w:tc>
          <w:tcPr>
            <w:tcW w:type="dxa" w:w="6360"/>
            <w:tcMar>
              <w:top w:type="dxa" w:w="100"/>
              <w:left w:type="dxa" w:w="120"/>
              <w:bottom w:type="dxa" w:w="100"/>
              <w:right w:type="dxa" w:w="120"/>
            </w:tcMar>
          </w:tcPr>
          <w:p>
            <w:r>
              <w:rPr>
                <w:b w:val="false"/>
                <w:bCs w:val="false"/>
                <w:sz w:val="20"/>
                <w:szCs w:val="20"/>
              </w:rPr>
              <w:t xml:space="preserve">Sebastian</w:t>
            </w:r>
          </w:p>
        </w:tc>
      </w:tr>
      <w:tr>
        <w:tc>
          <w:tcPr>
            <w:tcW w:type="dxa" w:w="3000"/>
            <w:shd w:fill="1F3864" w:val="clear"/>
            <w:tcMar>
              <w:top w:type="dxa" w:w="100"/>
              <w:left w:type="dxa" w:w="120"/>
              <w:bottom w:type="dxa" w:w="100"/>
              <w:right w:type="dxa" w:w="120"/>
            </w:tcMar>
          </w:tcPr>
          <w:p>
            <w:r>
              <w:rPr>
                <w:b/>
                <w:bCs/>
                <w:color w:val="FFFFFF"/>
                <w:sz w:val="20"/>
                <w:szCs w:val="20"/>
              </w:rPr>
              <w:t xml:space="preserve">Institution</w:t>
            </w:r>
          </w:p>
        </w:tc>
        <w:tc>
          <w:tcPr>
            <w:tcW w:type="dxa" w:w="6360"/>
            <w:tcMar>
              <w:top w:type="dxa" w:w="100"/>
              <w:left w:type="dxa" w:w="120"/>
              <w:bottom w:type="dxa" w:w="100"/>
              <w:right w:type="dxa" w:w="120"/>
            </w:tcMar>
          </w:tcPr>
          <w:p>
            <w:r>
              <w:rPr>
                <w:b w:val="false"/>
                <w:bCs w:val="false"/>
                <w:sz w:val="20"/>
                <w:szCs w:val="20"/>
              </w:rPr>
              <w:t xml:space="preserve">IILM</w:t>
            </w:r>
          </w:p>
        </w:tc>
      </w:tr>
      <w:tr>
        <w:tc>
          <w:tcPr>
            <w:tcW w:type="dxa" w:w="3000"/>
            <w:shd w:fill="1F3864" w:val="clear"/>
            <w:tcMar>
              <w:top w:type="dxa" w:w="100"/>
              <w:left w:type="dxa" w:w="120"/>
              <w:bottom w:type="dxa" w:w="100"/>
              <w:right w:type="dxa" w:w="120"/>
            </w:tcMar>
          </w:tcPr>
          <w:p>
            <w:r>
              <w:rPr>
                <w:b/>
                <w:bCs/>
                <w:color w:val="FFFFFF"/>
                <w:sz w:val="20"/>
                <w:szCs w:val="20"/>
              </w:rPr>
              <w:t xml:space="preserve">Project Title</w:t>
            </w:r>
          </w:p>
        </w:tc>
        <w:tc>
          <w:tcPr>
            <w:tcW w:type="dxa" w:w="6360"/>
            <w:tcMar>
              <w:top w:type="dxa" w:w="100"/>
              <w:left w:type="dxa" w:w="120"/>
              <w:bottom w:type="dxa" w:w="100"/>
              <w:right w:type="dxa" w:w="120"/>
            </w:tcMar>
          </w:tcPr>
          <w:p>
            <w:r>
              <w:rPr>
                <w:b w:val="false"/>
                <w:bCs w:val="false"/>
                <w:sz w:val="20"/>
                <w:szCs w:val="20"/>
              </w:rPr>
              <w:t xml:space="preserve">AI Code Review &amp; Security Analysis Agent</w:t>
            </w:r>
          </w:p>
        </w:tc>
      </w:tr>
      <w:tr>
        <w:tc>
          <w:tcPr>
            <w:tcW w:type="dxa" w:w="3000"/>
            <w:shd w:fill="1F3864" w:val="clear"/>
            <w:tcMar>
              <w:top w:type="dxa" w:w="100"/>
              <w:left w:type="dxa" w:w="120"/>
              <w:bottom w:type="dxa" w:w="100"/>
              <w:right w:type="dxa" w:w="120"/>
            </w:tcMar>
          </w:tcPr>
          <w:p>
            <w:r>
              <w:rPr>
                <w:b/>
                <w:bCs/>
                <w:color w:val="FFFFFF"/>
                <w:sz w:val="20"/>
                <w:szCs w:val="20"/>
              </w:rPr>
              <w:t xml:space="preserve">Milestone</w:t>
            </w:r>
          </w:p>
        </w:tc>
        <w:tc>
          <w:tcPr>
            <w:tcW w:type="dxa" w:w="6360"/>
            <w:tcMar>
              <w:top w:type="dxa" w:w="100"/>
              <w:left w:type="dxa" w:w="120"/>
              <w:bottom w:type="dxa" w:w="100"/>
              <w:right w:type="dxa" w:w="120"/>
            </w:tcMar>
          </w:tcPr>
          <w:p>
            <w:r>
              <w:rPr>
                <w:b w:val="false"/>
                <w:bCs w:val="false"/>
                <w:sz w:val="20"/>
                <w:szCs w:val="20"/>
              </w:rPr>
              <w:t xml:space="preserve">Milestone 1 (Week 1 - Week 2)</w:t>
            </w:r>
          </w:p>
        </w:tc>
      </w:tr>
      <w:tr>
        <w:tc>
          <w:tcPr>
            <w:tcW w:type="dxa" w:w="3000"/>
            <w:shd w:fill="1F3864" w:val="clear"/>
            <w:tcMar>
              <w:top w:type="dxa" w:w="100"/>
              <w:left w:type="dxa" w:w="120"/>
              <w:bottom w:type="dxa" w:w="100"/>
              <w:right w:type="dxa" w:w="120"/>
            </w:tcMar>
          </w:tcPr>
          <w:p>
            <w:r>
              <w:rPr>
                <w:b/>
                <w:bCs/>
                <w:color w:val="FFFFFF"/>
                <w:sz w:val="20"/>
                <w:szCs w:val="20"/>
              </w:rPr>
              <w:t xml:space="preserve">Development Environment</w:t>
            </w:r>
          </w:p>
        </w:tc>
        <w:tc>
          <w:tcPr>
            <w:tcW w:type="dxa" w:w="6360"/>
            <w:tcMar>
              <w:top w:type="dxa" w:w="100"/>
              <w:left w:type="dxa" w:w="120"/>
              <w:bottom w:type="dxa" w:w="100"/>
              <w:right w:type="dxa" w:w="120"/>
            </w:tcMar>
          </w:tcPr>
          <w:p>
            <w:r>
              <w:rPr>
                <w:b w:val="false"/>
                <w:bCs w:val="false"/>
                <w:sz w:val="20"/>
                <w:szCs w:val="20"/>
              </w:rPr>
              <w:t xml:space="preserve">Google Antigravity (Agent-Assisted Development Mode)</w:t>
            </w:r>
          </w:p>
        </w:tc>
      </w:tr>
      <w:tr>
        <w:tc>
          <w:tcPr>
            <w:tcW w:type="dxa" w:w="3000"/>
            <w:shd w:fill="1F3864" w:val="clear"/>
            <w:tcMar>
              <w:top w:type="dxa" w:w="100"/>
              <w:left w:type="dxa" w:w="120"/>
              <w:bottom w:type="dxa" w:w="100"/>
              <w:right w:type="dxa" w:w="120"/>
            </w:tcMar>
          </w:tcPr>
          <w:p>
            <w:r>
              <w:rPr>
                <w:b/>
                <w:bCs/>
                <w:color w:val="FFFFFF"/>
                <w:sz w:val="20"/>
                <w:szCs w:val="20"/>
              </w:rPr>
              <w:t xml:space="preserve">Status</w:t>
            </w:r>
          </w:p>
        </w:tc>
        <w:tc>
          <w:tcPr>
            <w:tcW w:type="dxa" w:w="6360"/>
            <w:tcMar>
              <w:top w:type="dxa" w:w="100"/>
              <w:left w:type="dxa" w:w="120"/>
              <w:bottom w:type="dxa" w:w="100"/>
              <w:right w:type="dxa" w:w="120"/>
            </w:tcMar>
          </w:tcPr>
          <w:p>
            <w:r>
              <w:rPr>
                <w:b w:val="false"/>
                <w:bCs w:val="false"/>
                <w:sz w:val="20"/>
                <w:szCs w:val="20"/>
              </w:rPr>
              <w:t xml:space="preserve">Completed</w:t>
            </w:r>
          </w:p>
        </w:tc>
      </w:tr>
    </w:tbl>
    <w:p>
      <w:pPr>
        <w:pStyle w:val="Heading1"/>
        <w:spacing w:after="160" w:before="320"/>
      </w:pPr>
      <w:r>
        <w:t xml:space="preserve">1. Objective of Milestone 1</w:t>
      </w:r>
    </w:p>
    <w:p>
      <w:pPr>
        <w:spacing w:after="160" w:line="300"/>
      </w:pPr>
      <w:r>
        <w:rPr>
          <w:sz w:val="22"/>
          <w:szCs w:val="22"/>
        </w:rPr>
        <w:t xml:space="preserve">The goal of Milestone 1 was to lay the foundation for the AI Code Review &amp; Security Analysis Agent platform. This involved researching the security and design standards the system would be built on, designing the overall multi-agent architecture, and implementing the first two working modules of the pipeline: the Code Submission Module and the Secure Coding Knowledge Base (RAG pipeline). This milestone did not include building the AI agents themselves; it focused entirely on establishing a solid, well-researched foundation for them.</w:t>
      </w:r>
    </w:p>
    <w:p>
      <w:pPr>
        <w:pStyle w:val="Heading1"/>
        <w:spacing w:after="160" w:before="320"/>
      </w:pPr>
      <w:r>
        <w:t xml:space="preserve">2. Tasks Completed</w:t>
      </w:r>
    </w:p>
    <w:p>
      <w:pPr>
        <w:pStyle w:val="Heading2"/>
        <w:spacing w:after="120" w:before="220"/>
      </w:pPr>
      <w:r>
        <w:t xml:space="preserve">2.1 Research: OWASP Standards, Secure Coding Guidelines, Code Smells, and RAG Architecture</w:t>
      </w:r>
    </w:p>
    <w:p>
      <w:pPr>
        <w:spacing w:after="160" w:line="300"/>
      </w:pPr>
      <w:r>
        <w:rPr>
          <w:sz w:val="22"/>
          <w:szCs w:val="22"/>
        </w:rPr>
        <w:t xml:space="preserve">Reviewed the OWASP Top 10 vulnerability categories and the OWASP Secure Coding Practices guidelines, with particular focus on the vulnerability classes the platform is designed to detect:</w:t>
      </w:r>
    </w:p>
    <w:p>
      <w:pPr>
        <w:pStyle w:val="ListParagraph"/>
        <w:numPr>
          <w:ilvl w:val="0"/>
          <w:numId w:val="2"/>
        </w:numPr>
        <w:spacing w:after="100"/>
      </w:pPr>
      <w:r>
        <w:t xml:space="preserve">SQL Injection</w:t>
      </w:r>
    </w:p>
    <w:p>
      <w:pPr>
        <w:pStyle w:val="ListParagraph"/>
        <w:numPr>
          <w:ilvl w:val="0"/>
          <w:numId w:val="2"/>
        </w:numPr>
        <w:spacing w:after="100"/>
      </w:pPr>
      <w:r>
        <w:t xml:space="preserve">Cross-Site Scripting (XSS)</w:t>
      </w:r>
    </w:p>
    <w:p>
      <w:pPr>
        <w:pStyle w:val="ListParagraph"/>
        <w:numPr>
          <w:ilvl w:val="0"/>
          <w:numId w:val="2"/>
        </w:numPr>
        <w:spacing w:after="100"/>
      </w:pPr>
      <w:r>
        <w:t xml:space="preserve">Cross-Site Request Forgery (CSRF)</w:t>
      </w:r>
    </w:p>
    <w:p>
      <w:pPr>
        <w:pStyle w:val="ListParagraph"/>
        <w:numPr>
          <w:ilvl w:val="0"/>
          <w:numId w:val="2"/>
        </w:numPr>
        <w:spacing w:after="100"/>
      </w:pPr>
      <w:r>
        <w:t xml:space="preserve">Hardcoded secrets and credentials</w:t>
      </w:r>
    </w:p>
    <w:p>
      <w:pPr>
        <w:pStyle w:val="ListParagraph"/>
        <w:numPr>
          <w:ilvl w:val="0"/>
          <w:numId w:val="2"/>
        </w:numPr>
        <w:spacing w:after="100"/>
      </w:pPr>
      <w:r>
        <w:t xml:space="preserve">Insecure authentication and broken access control</w:t>
      </w:r>
    </w:p>
    <w:p>
      <w:pPr>
        <w:spacing w:after="160" w:line="300"/>
      </w:pPr>
      <w:r>
        <w:rPr>
          <w:sz w:val="22"/>
          <w:szCs w:val="22"/>
        </w:rPr>
        <w:t xml:space="preserve">Also studied common code smell patterns relevant to Python and Java codebases (long methods, duplicated logic, poor naming, high cyclomatic complexity, tight coupling) to inform the Code Analysis Agent's future detection logic. Finally, studied Retrieval-Augmented Generation (RAG) architecture fundamentals — document chunking, embedding generation, vector similarity search, and grounded retrieval — since this underpins both the Security Vulnerability Agent and the Conversational Code Assistant.</w:t>
      </w:r>
    </w:p>
    <w:p>
      <w:pPr>
        <w:pStyle w:val="Heading2"/>
        <w:spacing w:after="120" w:before="220"/>
      </w:pPr>
      <w:r>
        <w:t xml:space="preserve">2.2 System Architecture Design</w:t>
      </w:r>
    </w:p>
    <w:p>
      <w:pPr>
        <w:spacing w:after="160" w:line="300"/>
      </w:pPr>
      <w:r>
        <w:rPr>
          <w:sz w:val="22"/>
          <w:szCs w:val="22"/>
        </w:rPr>
        <w:t xml:space="preserve">Designed the end-to-end system architecture, defining the responsibilities of each of the five planned agents, the orchestration flow between them, and the core data models used to pass information through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1F3864" w:val="clear"/>
            <w:tcMar>
              <w:top w:type="dxa" w:w="100"/>
              <w:left w:type="dxa" w:w="120"/>
              <w:bottom w:type="dxa" w:w="100"/>
              <w:right w:type="dxa" w:w="120"/>
            </w:tcMar>
          </w:tcPr>
          <w:p>
            <w:r>
              <w:rPr>
                <w:b/>
                <w:bCs/>
                <w:color w:val="FFFFFF"/>
                <w:sz w:val="20"/>
                <w:szCs w:val="20"/>
              </w:rPr>
              <w:t xml:space="preserve">Agent</w:t>
            </w:r>
          </w:p>
        </w:tc>
        <w:tc>
          <w:tcPr>
            <w:tcW w:type="dxa" w:w="6960"/>
            <w:shd w:fill="1F3864" w:val="clear"/>
            <w:tcMar>
              <w:top w:type="dxa" w:w="100"/>
              <w:left w:type="dxa" w:w="120"/>
              <w:bottom w:type="dxa" w:w="100"/>
              <w:right w:type="dxa" w:w="120"/>
            </w:tcMar>
          </w:tcPr>
          <w:p>
            <w:r>
              <w:rPr>
                <w:b/>
                <w:bCs/>
                <w:color w:val="FFFFFF"/>
                <w:sz w:val="20"/>
                <w:szCs w:val="20"/>
              </w:rPr>
              <w:t xml:space="preserve">Responsibility</w:t>
            </w:r>
          </w:p>
        </w:tc>
      </w:tr>
      <w:tr>
        <w:tc>
          <w:tcPr>
            <w:tcW w:type="dxa" w:w="2400"/>
            <w:tcMar>
              <w:top w:type="dxa" w:w="100"/>
              <w:left w:type="dxa" w:w="120"/>
              <w:bottom w:type="dxa" w:w="100"/>
              <w:right w:type="dxa" w:w="120"/>
            </w:tcMar>
          </w:tcPr>
          <w:p>
            <w:r>
              <w:rPr>
                <w:b w:val="false"/>
                <w:bCs w:val="false"/>
                <w:sz w:val="20"/>
                <w:szCs w:val="20"/>
              </w:rPr>
              <w:t xml:space="preserve">Code Analysis Agent</w:t>
            </w:r>
          </w:p>
        </w:tc>
        <w:tc>
          <w:tcPr>
            <w:tcW w:type="dxa" w:w="6960"/>
            <w:tcMar>
              <w:top w:type="dxa" w:w="100"/>
              <w:left w:type="dxa" w:w="120"/>
              <w:bottom w:type="dxa" w:w="100"/>
              <w:right w:type="dxa" w:w="120"/>
            </w:tcMar>
          </w:tcPr>
          <w:p>
            <w:r>
              <w:rPr>
                <w:b w:val="false"/>
                <w:bCs w:val="false"/>
                <w:sz w:val="20"/>
                <w:szCs w:val="20"/>
              </w:rPr>
              <w:t xml:space="preserve">Reviews code structure; detects code smells, design anti-patterns, and complexity issues</w:t>
            </w:r>
          </w:p>
        </w:tc>
      </w:tr>
      <w:tr>
        <w:tc>
          <w:tcPr>
            <w:tcW w:type="dxa" w:w="2400"/>
            <w:tcMar>
              <w:top w:type="dxa" w:w="100"/>
              <w:left w:type="dxa" w:w="120"/>
              <w:bottom w:type="dxa" w:w="100"/>
              <w:right w:type="dxa" w:w="120"/>
            </w:tcMar>
          </w:tcPr>
          <w:p>
            <w:r>
              <w:rPr>
                <w:b w:val="false"/>
                <w:bCs w:val="false"/>
                <w:sz w:val="20"/>
                <w:szCs w:val="20"/>
              </w:rPr>
              <w:t xml:space="preserve">Security Vulnerability Agent</w:t>
            </w:r>
          </w:p>
        </w:tc>
        <w:tc>
          <w:tcPr>
            <w:tcW w:type="dxa" w:w="6960"/>
            <w:tcMar>
              <w:top w:type="dxa" w:w="100"/>
              <w:left w:type="dxa" w:w="120"/>
              <w:bottom w:type="dxa" w:w="100"/>
              <w:right w:type="dxa" w:w="120"/>
            </w:tcMar>
          </w:tcPr>
          <w:p>
            <w:r>
              <w:rPr>
                <w:b w:val="false"/>
                <w:bCs w:val="false"/>
                <w:sz w:val="20"/>
                <w:szCs w:val="20"/>
              </w:rPr>
              <w:t xml:space="preserve">Scans for OWASP-standard vulnerabilities, grounded in the RAG knowledge base</w:t>
            </w:r>
          </w:p>
        </w:tc>
      </w:tr>
      <w:tr>
        <w:tc>
          <w:tcPr>
            <w:tcW w:type="dxa" w:w="2400"/>
            <w:tcMar>
              <w:top w:type="dxa" w:w="100"/>
              <w:left w:type="dxa" w:w="120"/>
              <w:bottom w:type="dxa" w:w="100"/>
              <w:right w:type="dxa" w:w="120"/>
            </w:tcMar>
          </w:tcPr>
          <w:p>
            <w:r>
              <w:rPr>
                <w:b w:val="false"/>
                <w:bCs w:val="false"/>
                <w:sz w:val="20"/>
                <w:szCs w:val="20"/>
              </w:rPr>
              <w:t xml:space="preserve">Remediation Agent</w:t>
            </w:r>
          </w:p>
        </w:tc>
        <w:tc>
          <w:tcPr>
            <w:tcW w:type="dxa" w:w="6960"/>
            <w:tcMar>
              <w:top w:type="dxa" w:w="100"/>
              <w:left w:type="dxa" w:w="120"/>
              <w:bottom w:type="dxa" w:w="100"/>
              <w:right w:type="dxa" w:w="120"/>
            </w:tcMar>
          </w:tcPr>
          <w:p>
            <w:r>
              <w:rPr>
                <w:b w:val="false"/>
                <w:bCs w:val="false"/>
                <w:sz w:val="20"/>
                <w:szCs w:val="20"/>
              </w:rPr>
              <w:t xml:space="preserve">Generates corrected code examples and fix explanations per finding</w:t>
            </w:r>
          </w:p>
        </w:tc>
      </w:tr>
      <w:tr>
        <w:tc>
          <w:tcPr>
            <w:tcW w:type="dxa" w:w="2400"/>
            <w:tcMar>
              <w:top w:type="dxa" w:w="100"/>
              <w:left w:type="dxa" w:w="120"/>
              <w:bottom w:type="dxa" w:w="100"/>
              <w:right w:type="dxa" w:w="120"/>
            </w:tcMar>
          </w:tcPr>
          <w:p>
            <w:r>
              <w:rPr>
                <w:b w:val="false"/>
                <w:bCs w:val="false"/>
                <w:sz w:val="20"/>
                <w:szCs w:val="20"/>
              </w:rPr>
              <w:t xml:space="preserve">PR Summary Agent</w:t>
            </w:r>
          </w:p>
        </w:tc>
        <w:tc>
          <w:tcPr>
            <w:tcW w:type="dxa" w:w="6960"/>
            <w:tcMar>
              <w:top w:type="dxa" w:w="100"/>
              <w:left w:type="dxa" w:w="120"/>
              <w:bottom w:type="dxa" w:w="100"/>
              <w:right w:type="dxa" w:w="120"/>
            </w:tcMar>
          </w:tcPr>
          <w:p>
            <w:r>
              <w:rPr>
                <w:b w:val="false"/>
                <w:bCs w:val="false"/>
                <w:sz w:val="20"/>
                <w:szCs w:val="20"/>
              </w:rPr>
              <w:t xml:space="preserve">Compiles all findings into a structured, human-readable review summary</w:t>
            </w:r>
          </w:p>
        </w:tc>
      </w:tr>
      <w:tr>
        <w:tc>
          <w:tcPr>
            <w:tcW w:type="dxa" w:w="2400"/>
            <w:tcMar>
              <w:top w:type="dxa" w:w="100"/>
              <w:left w:type="dxa" w:w="120"/>
              <w:bottom w:type="dxa" w:w="100"/>
              <w:right w:type="dxa" w:w="120"/>
            </w:tcMar>
          </w:tcPr>
          <w:p>
            <w:r>
              <w:rPr>
                <w:b w:val="false"/>
                <w:bCs w:val="false"/>
                <w:sz w:val="20"/>
                <w:szCs w:val="20"/>
              </w:rPr>
              <w:t xml:space="preserve">Conversational Code Assistant</w:t>
            </w:r>
          </w:p>
        </w:tc>
        <w:tc>
          <w:tcPr>
            <w:tcW w:type="dxa" w:w="6960"/>
            <w:tcMar>
              <w:top w:type="dxa" w:w="100"/>
              <w:left w:type="dxa" w:w="120"/>
              <w:bottom w:type="dxa" w:w="100"/>
              <w:right w:type="dxa" w:w="120"/>
            </w:tcMar>
          </w:tcPr>
          <w:p>
            <w:r>
              <w:rPr>
                <w:b w:val="false"/>
                <w:bCs w:val="false"/>
                <w:sz w:val="20"/>
                <w:szCs w:val="20"/>
              </w:rPr>
              <w:t xml:space="preserve">RAG-powered Q&amp;A for follow-up developer questions</w:t>
            </w:r>
          </w:p>
        </w:tc>
      </w:tr>
    </w:tbl>
    <w:p>
      <w:pPr>
        <w:spacing w:before="200"/>
      </w:pPr>
    </w:p>
    <w:p>
      <w:pPr>
        <w:spacing w:after="160" w:line="300"/>
      </w:pPr>
      <w:r>
        <w:rPr>
          <w:sz w:val="22"/>
          <w:szCs w:val="22"/>
        </w:rPr>
        <w:t xml:space="preserve">Selected technology stack:</w:t>
      </w:r>
    </w:p>
    <w:p>
      <w:pPr>
        <w:pStyle w:val="ListParagraph"/>
        <w:numPr>
          <w:ilvl w:val="0"/>
          <w:numId w:val="2"/>
        </w:numPr>
        <w:spacing w:after="100"/>
      </w:pPr>
      <w:r>
        <w:t xml:space="preserve">Backend: FastAPI (Python)</w:t>
      </w:r>
    </w:p>
    <w:p>
      <w:pPr>
        <w:pStyle w:val="ListParagraph"/>
        <w:numPr>
          <w:ilvl w:val="0"/>
          <w:numId w:val="2"/>
        </w:numPr>
        <w:spacing w:after="100"/>
      </w:pPr>
      <w:r>
        <w:t xml:space="preserve">Vector Store: Chroma (local, lightweight vector database)</w:t>
      </w:r>
    </w:p>
    <w:p>
      <w:pPr>
        <w:pStyle w:val="ListParagraph"/>
        <w:numPr>
          <w:ilvl w:val="0"/>
          <w:numId w:val="2"/>
        </w:numPr>
        <w:spacing w:after="100"/>
      </w:pPr>
      <w:r>
        <w:t xml:space="preserve">Frontend: React</w:t>
      </w:r>
    </w:p>
    <w:p>
      <w:pPr>
        <w:pStyle w:val="ListParagraph"/>
        <w:numPr>
          <w:ilvl w:val="0"/>
          <w:numId w:val="2"/>
        </w:numPr>
        <w:spacing w:after="100"/>
      </w:pPr>
      <w:r>
        <w:t xml:space="preserve">Core data model: a structured Finding object containing type, severity, affected line(s), description, and suggested fix — used as the common format passed between agents</w:t>
      </w:r>
    </w:p>
    <w:p>
      <w:pPr>
        <w:pStyle w:val="Heading2"/>
        <w:spacing w:after="120" w:before="220"/>
      </w:pPr>
      <w:r>
        <w:t xml:space="preserve">2.3 Code Submission Module</w:t>
      </w:r>
    </w:p>
    <w:p>
      <w:pPr>
        <w:spacing w:after="160" w:line="300"/>
      </w:pPr>
      <w:r>
        <w:rPr>
          <w:sz w:val="22"/>
          <w:szCs w:val="22"/>
        </w:rPr>
        <w:t xml:space="preserve">Implemented the entry point of the pipeline, allowing developers to submit code in either of two ways:</w:t>
      </w:r>
    </w:p>
    <w:p>
      <w:pPr>
        <w:pStyle w:val="ListParagraph"/>
        <w:numPr>
          <w:ilvl w:val="0"/>
          <w:numId w:val="2"/>
        </w:numPr>
        <w:spacing w:after="100"/>
      </w:pPr>
      <w:r>
        <w:t xml:space="preserve">Direct paste of source code into a text field</w:t>
      </w:r>
    </w:p>
    <w:p>
      <w:pPr>
        <w:pStyle w:val="ListParagraph"/>
        <w:numPr>
          <w:ilvl w:val="0"/>
          <w:numId w:val="2"/>
        </w:numPr>
        <w:spacing w:after="100"/>
      </w:pPr>
      <w:r>
        <w:t xml:space="preserve">Upload of a source file (.py or .java)</w:t>
      </w:r>
    </w:p>
    <w:p>
      <w:pPr>
        <w:spacing w:after="160" w:line="300"/>
      </w:pPr>
      <w:r>
        <w:rPr>
          <w:sz w:val="22"/>
          <w:szCs w:val="22"/>
        </w:rPr>
        <w:t xml:space="preserve">Basic syntax validation was added before code is accepted into the pipeline — Python files are checked using the built-in ast parser, and Java files undergo a structural validation check. This prevents invalid or unsupported input from being passed downstream to the analysis agents, avoiding wasted processing and unclear error states.</w:t>
      </w:r>
    </w:p>
    <w:p>
      <w:pPr>
        <w:spacing w:after="160" w:line="300"/>
      </w:pPr>
      <w:r>
        <w:rPr>
          <w:sz w:val="22"/>
          <w:szCs w:val="22"/>
        </w:rPr>
        <w:t xml:space="preserve">Testing performed: a valid Python file, a valid Java file, a syntactically broken file, and an unsupported file type were each submitted to confirm the module accepts valid code and cleanly rejects invalid input with a clear error message.</w:t>
      </w:r>
    </w:p>
    <w:p>
      <w:pPr>
        <w:pStyle w:val="Heading2"/>
        <w:spacing w:after="120" w:before="220"/>
      </w:pPr>
      <w:r>
        <w:t xml:space="preserve">2.4 Secure Coding Knowledge Base and RAG Pipeline</w:t>
      </w:r>
    </w:p>
    <w:p>
      <w:pPr>
        <w:spacing w:after="160" w:line="300"/>
      </w:pPr>
      <w:r>
        <w:rPr>
          <w:sz w:val="22"/>
          <w:szCs w:val="22"/>
        </w:rPr>
        <w:t xml:space="preserve">Built the knowledge base that grounds the Security Vulnerability Agent and Conversational Code Assistant in real secure-coding standards rather than model memory alone:</w:t>
      </w:r>
    </w:p>
    <w:p>
      <w:pPr>
        <w:pStyle w:val="ListParagraph"/>
        <w:numPr>
          <w:ilvl w:val="0"/>
          <w:numId w:val="2"/>
        </w:numPr>
        <w:spacing w:after="100"/>
      </w:pPr>
      <w:r>
        <w:t xml:space="preserve">Collected OWASP guideline documents and secure coding cheat sheets as source material</w:t>
      </w:r>
    </w:p>
    <w:p>
      <w:pPr>
        <w:pStyle w:val="ListParagraph"/>
        <w:numPr>
          <w:ilvl w:val="0"/>
          <w:numId w:val="2"/>
        </w:numPr>
        <w:spacing w:after="100"/>
      </w:pPr>
      <w:r>
        <w:t xml:space="preserve">Chunked the documents into smaller sections suitable for retrieval</w:t>
      </w:r>
    </w:p>
    <w:p>
      <w:pPr>
        <w:pStyle w:val="ListParagraph"/>
        <w:numPr>
          <w:ilvl w:val="0"/>
          <w:numId w:val="2"/>
        </w:numPr>
        <w:spacing w:after="100"/>
      </w:pPr>
      <w:r>
        <w:t xml:space="preserve">Generated embeddings for each chunk and indexed them in a vector store</w:t>
      </w:r>
    </w:p>
    <w:p>
      <w:pPr>
        <w:pStyle w:val="ListParagraph"/>
        <w:numPr>
          <w:ilvl w:val="0"/>
          <w:numId w:val="2"/>
        </w:numPr>
        <w:spacing w:after="100"/>
      </w:pPr>
      <w:r>
        <w:t xml:space="preserve">Verified retrieval quality by querying representative terms (e.g. "SQL injection", "hardcoded secrets") and confirming the most relevant chunks were returned</w:t>
      </w:r>
    </w:p>
    <w:p>
      <w:pPr>
        <w:pStyle w:val="Heading1"/>
        <w:spacing w:after="160" w:before="320"/>
      </w:pPr>
      <w:r>
        <w:t xml:space="preserve">3. Tools and Technologies Used</w:t>
      </w:r>
    </w:p>
    <w:p>
      <w:pPr>
        <w:pStyle w:val="ListParagraph"/>
        <w:numPr>
          <w:ilvl w:val="0"/>
          <w:numId w:val="2"/>
        </w:numPr>
        <w:spacing w:after="100"/>
      </w:pPr>
      <w:r>
        <w:t xml:space="preserve">Google Antigravity — agent-assisted development and orchestration</w:t>
      </w:r>
    </w:p>
    <w:p>
      <w:pPr>
        <w:pStyle w:val="ListParagraph"/>
        <w:numPr>
          <w:ilvl w:val="0"/>
          <w:numId w:val="2"/>
        </w:numPr>
        <w:spacing w:after="100"/>
      </w:pPr>
      <w:r>
        <w:t xml:space="preserve">FastAPI — backend framework</w:t>
      </w:r>
    </w:p>
    <w:p>
      <w:pPr>
        <w:pStyle w:val="ListParagraph"/>
        <w:numPr>
          <w:ilvl w:val="0"/>
          <w:numId w:val="2"/>
        </w:numPr>
        <w:spacing w:after="100"/>
      </w:pPr>
      <w:r>
        <w:t xml:space="preserve">React — frontend framework</w:t>
      </w:r>
    </w:p>
    <w:p>
      <w:pPr>
        <w:pStyle w:val="ListParagraph"/>
        <w:numPr>
          <w:ilvl w:val="0"/>
          <w:numId w:val="2"/>
        </w:numPr>
        <w:spacing w:after="100"/>
      </w:pPr>
      <w:r>
        <w:t xml:space="preserve">Chroma — vector database for the RAG pipeline</w:t>
      </w:r>
    </w:p>
    <w:p>
      <w:pPr>
        <w:pStyle w:val="ListParagraph"/>
        <w:numPr>
          <w:ilvl w:val="0"/>
          <w:numId w:val="2"/>
        </w:numPr>
        <w:spacing w:after="100"/>
      </w:pPr>
      <w:r>
        <w:t xml:space="preserve">Python ast module — syntax validation</w:t>
      </w:r>
    </w:p>
    <w:p>
      <w:pPr>
        <w:pStyle w:val="Heading1"/>
        <w:spacing w:after="160" w:before="320"/>
      </w:pPr>
      <w:r>
        <w:t xml:space="preserve">4. Challenges and Learnings</w:t>
      </w:r>
    </w:p>
    <w:p>
      <w:pPr>
        <w:pStyle w:val="ListParagraph"/>
        <w:numPr>
          <w:ilvl w:val="0"/>
          <w:numId w:val="2"/>
        </w:numPr>
        <w:spacing w:after="100"/>
      </w:pPr>
      <w:r>
        <w:t xml:space="preserve">Ensuring retrieval quality in the RAG pipeline required careful chunk sizing — chunks that were too large returned irrelevant context, while chunks that were too small lost meaning</w:t>
      </w:r>
    </w:p>
    <w:p>
      <w:pPr>
        <w:pStyle w:val="ListParagraph"/>
        <w:numPr>
          <w:ilvl w:val="0"/>
          <w:numId w:val="2"/>
        </w:numPr>
        <w:spacing w:after="100"/>
      </w:pPr>
      <w:r>
        <w:t xml:space="preserve">Deciding on a single structured Finding data model early made it clear how information would flow between agents in later milestones</w:t>
      </w:r>
    </w:p>
    <w:p>
      <w:pPr>
        <w:pStyle w:val="ListParagraph"/>
        <w:numPr>
          <w:ilvl w:val="0"/>
          <w:numId w:val="2"/>
        </w:numPr>
        <w:spacing w:after="100"/>
      </w:pPr>
      <w:r>
        <w:t xml:space="preserve">Validating Java syntax proved more involved than Python, given the lack of an equivalent lightweight built-in parser</w:t>
      </w:r>
    </w:p>
    <w:p>
      <w:pPr>
        <w:pStyle w:val="Heading1"/>
        <w:spacing w:after="160" w:before="320"/>
      </w:pPr>
      <w:r>
        <w:t xml:space="preserve">5. Conclusion and Next Steps</w:t>
      </w:r>
    </w:p>
    <w:p>
      <w:pPr>
        <w:spacing w:after="160" w:line="300"/>
      </w:pPr>
      <w:r>
        <w:rPr>
          <w:sz w:val="22"/>
          <w:szCs w:val="22"/>
        </w:rPr>
        <w:t xml:space="preserve">Milestone 1 established the research foundation, system architecture, and the first two functional modules of the platform: code submission with validation, and a working, verified secure-coding knowledge base. With this foundation in place, Milestone 2 will focus on implementing the five AI agents themselves — beginning with the Code Analysis Agent and Security Vulnerability Agent — and connecting them into the orchestration pipeline designed in this milestone.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2026-07-11T18:01:57.389Z</dcterms:created>
  <dcterms:modified xsi:type="dcterms:W3CDTF">2026-07-11T18:01:57.409Z</dcterms:modified>
</cp:coreProperties>
</file>

<file path=docProps/custom.xml><?xml version="1.0" encoding="utf-8"?>
<Properties xmlns="http://schemas.openxmlformats.org/officeDocument/2006/custom-properties" xmlns:vt="http://schemas.openxmlformats.org/officeDocument/2006/docPropsVTypes"/>
</file>