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6FEB"/>
          <w:sz w:val="40"/>
          <w:szCs w:val="40"/>
        </w:rPr>
        <w:t xml:space="preserve">Travel Reimbursement Approval Agent</w:t>
      </w:r>
    </w:p>
    <w:p>
      <w:pPr>
        <w:spacing w:after="40"/>
        <w:jc w:val="center"/>
      </w:pPr>
      <w:r>
        <w:rPr>
          <w:color w:val="1F2937"/>
          <w:sz w:val="24"/>
          <w:szCs w:val="24"/>
        </w:rPr>
        <w:t xml:space="preserve">Target Architecture &amp; Feasibility Prototype — Domestic Travel Reimbursement</w:t>
      </w:r>
    </w:p>
    <w:p>
      <w:pPr>
        <w:spacing w:after="400"/>
        <w:jc w:val="center"/>
      </w:pPr>
      <w:r>
        <w:rPr>
          <w:i/>
          <w:iCs/>
          <w:color w:val="6B7280"/>
          <w:sz w:val="19"/>
          <w:szCs w:val="19"/>
        </w:rPr>
        <w:t xml:space="preserve">Architecture Note  ·  Prepared by Ravi, AI Architect</w:t>
      </w:r>
    </w:p>
    <w:p>
      <w:pPr>
        <w:pStyle w:val="Heading1"/>
        <w:spacing w:after="140" w:before="320"/>
      </w:pPr>
      <w:r>
        <w:t xml:space="preserve">1. Problem Decomposition</w:t>
      </w:r>
    </w:p>
    <w:p>
      <w:pPr>
        <w:spacing w:after="120"/>
      </w:pPr>
      <w:r>
        <w:t xml:space="preserve">Finance teams manually review travel reimbursement claims against a policy document, receipts, and approval thresholds. The task decomposes into six checkable sub-problems, each mapped to a discrete, testable component rather than one monolithic LLM call: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3500"/>
      </w:tblGrid>
      <w:tr>
        <w:trPr>
          <w:tblHeader/>
        </w:trPr>
        <w:tc>
          <w:tcPr>
            <w:tcW w:type="dxa" w:w="2800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Sub-problem</w:t>
            </w:r>
          </w:p>
        </w:tc>
        <w:tc>
          <w:tcPr>
            <w:tcW w:type="dxa" w:w="2500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500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 not a single LLM call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What does policy say for this category/city?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Policy Retrieval Tool (RAG)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Needs citable, versioned evidence — not paraphrase</w:t>
            </w:r>
          </w:p>
        </w:tc>
      </w:tr>
      <w:tr>
        <w:tc>
          <w:tcPr>
            <w:tcW w:type="dxa" w:w="28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Is the receipt genuine and complete?</w:t>
            </w:r>
          </w:p>
        </w:tc>
        <w:tc>
          <w:tcPr>
            <w:tcW w:type="dxa" w:w="25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Receipt Validation Tool</w:t>
            </w:r>
          </w:p>
        </w:tc>
        <w:tc>
          <w:tcPr>
            <w:tcW w:type="dxa" w:w="35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Deterministic field checks; OCR/Doc-AI, not language reasoning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Has this exact expense been claimed before?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Duplicate Check Tool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Exact-match DB lookup, must never be "fuzzy"</w:t>
            </w:r>
          </w:p>
        </w:tc>
      </w:tr>
      <w:tr>
        <w:tc>
          <w:tcPr>
            <w:tcW w:type="dxa" w:w="28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Who must approve, and what caps apply?</w:t>
            </w:r>
          </w:p>
        </w:tc>
        <w:tc>
          <w:tcPr>
            <w:tcW w:type="dxa" w:w="25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Approval Matrix Tool</w:t>
            </w:r>
          </w:p>
        </w:tc>
        <w:tc>
          <w:tcPr>
            <w:tcW w:type="dxa" w:w="35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Business rule lookup; changes independently of policy text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What is the compliant amount and why?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Decision Engine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Deterministic arithmetic + rule fusion over tool outputs</w:t>
            </w:r>
          </w:p>
        </w:tc>
      </w:tr>
      <w:tr>
        <w:tc>
          <w:tcPr>
            <w:tcW w:type="dxa" w:w="28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How confident are we, and is this explainable?</w:t>
            </w:r>
          </w:p>
        </w:tc>
        <w:tc>
          <w:tcPr>
            <w:tcW w:type="dxa" w:w="25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LLM Reasoning Step</w:t>
            </w:r>
          </w:p>
        </w:tc>
        <w:tc>
          <w:tcPr>
            <w:tcW w:type="dxa" w:w="35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Natural-language rationale grounded in the above evidence only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10" w:before="220"/>
      </w:pPr>
      <w:r>
        <w:t xml:space="preserve">Key assumptions (scope boundary for this exercise)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Domestic travel only, four categories: flight, hotel, meals, taxi. International travel, advances, and mileage claims are out of scope.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One employee grade hierarchy and one currency (INR); multi-entity/multi-currency is a v2 concern.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"Policy" is a static mock document for this exercise; production would version policy documents and re-embed on change.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LLM is used only for grounded explanation generation and confidence framing — never for arithmetic, cap comparison, or the approve/reject decision itself, which are deterministic code.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Claims arrive as structured JSON (from an expense app/ERP form). Free-text claim parsing is a v2 concern and would sit in front of Claim Intake.</w:t>
      </w:r>
    </w:p>
    <w:p>
      <w:pPr>
        <w:pStyle w:val="Heading1"/>
        <w:spacing w:after="140" w:before="320"/>
      </w:pPr>
      <w:r>
        <w:t xml:space="preserve">2. Chosen Agent Pattern</w:t>
      </w:r>
    </w:p>
    <w:p>
      <w:pPr>
        <w:spacing w:after="120"/>
      </w:pPr>
      <w:r>
        <w:t xml:space="preserve">A deterministic orchestrator (state graph) coordinates specialist tools, with a single, narrowly-scoped LLM call for explanation and confidence — not a free-roaming multi-agent debate. This is a policy decision, not a limitation: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Financial decisions require reproducibility. A state graph with typed tool contracts can be unit-tested per node; an open-ended multi-agent conversation cannot.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Every branch (Approve / Partial / Reject / Manual Review) is an explicit, auditable code path, not an emergent LLM judgment.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LLM adds value exactly where humans need natural-language grounding — the "why" — while rule evaluation stays in deterministic code that Finance/Audit can review line-by-line.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Target framework: LangGraph for the state machine, Azure OpenAI for the reasoning step, FastAPI for the claim-intake API — consistent with a standard enterprise GenAI stack.</w:t>
      </w:r>
    </w:p>
    <w:p>
      <w:pPr>
        <w:pStyle w:val="Heading1"/>
        <w:spacing w:after="140" w:before="320"/>
      </w:pPr>
      <w:r>
        <w:t xml:space="preserve">3. Component Architecture</w:t>
      </w:r>
    </w:p>
    <w:p>
      <w:pPr>
        <w:spacing w:after="120"/>
      </w:pPr>
      <w:r>
        <w:t xml:space="preserve">The diagram below shows responsibility boundaries: intake/gateway (enterprise edge), orchestrator + LLM (agent core), a tool belt of four narrow services, their backing data stores, and the decision/notification/ERP layer. Cross-cutting concerns (observability, IAM, secrets, governance) wrap the whole system rather than living inside any one box.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3657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Figure 1 — Component architecture</w:t>
      </w:r>
    </w:p>
    <w:p>
      <w:r>
        <w:br w:type="page"/>
      </w:r>
    </w:p>
    <w:p>
      <w:pPr>
        <w:pStyle w:val="Heading1"/>
        <w:spacing w:after="140" w:before="320"/>
      </w:pPr>
      <w:r>
        <w:t xml:space="preserve">4. Workflow / Sequence</w:t>
      </w:r>
    </w:p>
    <w:p>
      <w:pPr>
        <w:spacing w:after="120"/>
      </w:pPr>
      <w:r>
        <w:t xml:space="preserve">A single claim's lifecycle, from submission to either an automated decision or a human-reviewed one. Note step 9: the audit record is written before the confidence branch — every claim gets a durable evidence trail regardless of how it resolves.</w:t>
      </w:r>
    </w:p>
    <w:p>
      <w:pPr>
        <w:spacing w:after="80" w:before="120"/>
        <w:jc w:val="center"/>
      </w:pPr>
      <w:r>
        <w:drawing>
          <wp:inline distT="0" distB="0" distL="0" distR="0">
            <wp:extent cx="4714875" cy="5981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598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Figure 2 — Claim decisioning sequence</w:t>
      </w:r>
    </w:p>
    <w:p>
      <w:r>
        <w:br w:type="page"/>
      </w:r>
    </w:p>
    <w:p>
      <w:pPr>
        <w:pStyle w:val="Heading1"/>
        <w:spacing w:after="140" w:before="320"/>
      </w:pPr>
      <w:r>
        <w:t xml:space="preserve">5. Tool / Service Contracts</w:t>
      </w:r>
    </w:p>
    <w:p>
      <w:pPr>
        <w:spacing w:after="120"/>
      </w:pPr>
      <w:r>
        <w:t xml:space="preserve">Each tool is a narrow, independently testable interface. Failure handling is designed so that a tool outage degrades to Manual Review rather than a silent false-positive approval — this is the single most important reliability property of the design.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3000"/>
      </w:tblGrid>
      <w:tr>
        <w:trPr>
          <w:tblHeader/>
        </w:trPr>
        <w:tc>
          <w:tcPr>
            <w:tcW w:type="dxa" w:w="2000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2400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2400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  <w:tc>
          <w:tcPr>
            <w:tcW w:type="dxa" w:w="3000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Failure handling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PolicyRetrievalTool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query text, top_k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[{id, section, text, score}]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Empty result ⇒ category has no grounded policy ⇒ Manual Review</w:t>
            </w:r>
          </w:p>
        </w:tc>
      </w:tr>
      <w:tr>
        <w:tc>
          <w:tcPr>
            <w:tcW w:type="dxa" w:w="20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ReceiptValidationTool</w:t>
            </w:r>
          </w:p>
        </w:tc>
        <w:tc>
          <w:tcPr>
            <w:tcW w:type="dxa" w:w="24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line_item (vendor, amount, date, receipt_id)</w:t>
            </w:r>
          </w:p>
        </w:tc>
        <w:tc>
          <w:tcPr>
            <w:tcW w:type="dxa" w:w="24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{is_valid, reason, confidence}</w:t>
            </w:r>
          </w:p>
        </w:tc>
        <w:tc>
          <w:tcPr>
            <w:tcW w:type="dxa" w:w="30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Missing/unattached receipt ⇒ is_valid=false, never assumed valid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DuplicateCheckTool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employee_id, vendor, amount, date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{is_duplicate, matched_claim_id}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DB unavailable ⇒ raises, orchestrator treats as blocking ⇒ Manual Review (never "assume clean")</w:t>
            </w:r>
          </w:p>
        </w:tc>
      </w:tr>
      <w:tr>
        <w:tc>
          <w:tcPr>
            <w:tcW w:type="dxa" w:w="20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ApprovalMatrixTool</w:t>
            </w:r>
          </w:p>
        </w:tc>
        <w:tc>
          <w:tcPr>
            <w:tcW w:type="dxa" w:w="24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total_amount / category+city_tier</w:t>
            </w:r>
          </w:p>
        </w:tc>
        <w:tc>
          <w:tcPr>
            <w:tcW w:type="dxa" w:w="24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{approver_level, auto_approvable} / {cap_amount}</w:t>
            </w:r>
          </w:p>
        </w:tc>
        <w:tc>
          <w:tcPr>
            <w:tcW w:type="dxa" w:w="30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matching row ⇒ defaults to most conservative approver (Finance Controller, non-auto-approvable)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DecisionEngine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claim + all tool outputs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structured decision JSON (see §8)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Any hard-review flag or confidence &lt; 0.75 ⇒ forced Manual Review, never overridden by the LLM step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Contracts are intentionally boring and typed (JSON-serializable dicts) so they can be implemented as REST/gRPC microservices, LangChain tools, or MCP servers without redesigning the orchestrator.</w:t>
      </w:r>
    </w:p>
    <w:p>
      <w:pPr>
        <w:pStyle w:val="Heading1"/>
        <w:spacing w:after="140" w:before="320"/>
      </w:pPr>
      <w:r>
        <w:t xml:space="preserve">6. Context, Reliability &amp; Audit</w:t>
      </w:r>
    </w:p>
    <w:p>
      <w:pPr>
        <w:pStyle w:val="Heading2"/>
        <w:spacing w:after="110" w:before="220"/>
      </w:pPr>
      <w:r>
        <w:t xml:space="preserve">Policy grounding &amp; source references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Every decision carries a policy_references list of source-document IDs actually retrieved and used — never a hallucinated citation. If the decision engine cites POL-APPROVAL-01, that chunk was returned by the retrieval tool for this claim.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Policy documents are versioned; the audit record stores the policy KB version hash alongside the decision so a later policy change never silently reinterprets a historical decision.</w:t>
      </w:r>
    </w:p>
    <w:p>
      <w:pPr>
        <w:pStyle w:val="Heading2"/>
        <w:spacing w:after="110" w:before="220"/>
      </w:pPr>
      <w:r>
        <w:t xml:space="preserve">Confidence &amp; fallback logic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simple, explainable confidence score (not an LLM-invented number) starts at 1.0 and is penalized for missing receipts, duplicates, and over-cap items; below 0.75 the claim always falls back to Manual Review.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Hard rules (exception claimed, duplicate detected, &gt;20% over category cap) force Manual Review regardless of confidence — confidence is a fallback net, not the primary safety mechanism.</w:t>
      </w:r>
    </w:p>
    <w:p>
      <w:pPr>
        <w:pStyle w:val="Heading2"/>
        <w:spacing w:after="110" w:before="220"/>
      </w:pPr>
      <w:r>
        <w:t xml:space="preserve">Structured outputs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Decision Engine's output is a fixed JSON schema (decision, approved/rejected amounts, per-line breakdown, flags, policy references, required approver, rationale) — never free-form LLM text — so it can be consumed directly by ERP posting and analyst UIs.</w:t>
      </w:r>
    </w:p>
    <w:p>
      <w:pPr>
        <w:pStyle w:val="Heading2"/>
        <w:spacing w:after="110" w:before="220"/>
      </w:pPr>
      <w:r>
        <w:t xml:space="preserve">Audit trail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Every claim produces an immutable record: input payload, every tool call and its output, the policy chunks retrieved, the confidence computation, the final decision, and (if applicable) the human reviewer's action — sufficient for a Finance/Internal Audit reconstruction of "why" months later.</w:t>
      </w:r>
    </w:p>
    <w:p>
      <w:pPr>
        <w:pStyle w:val="Heading1"/>
        <w:spacing w:after="140" w:before="320"/>
      </w:pPr>
      <w:r>
        <w:t xml:space="preserve">7. Enterprise Readiness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600"/>
      </w:tblGrid>
      <w:tr>
        <w:trPr>
          <w:tblHeader/>
        </w:trPr>
        <w:tc>
          <w:tcPr>
            <w:tcW w:type="dxa" w:w="2200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6600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Approach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Security</w:t>
            </w:r>
          </w:p>
        </w:tc>
        <w:tc>
          <w:tcPr>
            <w:tcW w:type="dxa" w:w="6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mTLS between services; secrets in Key Vault/HSM, never in code or prompts; least-privilege service identities per tool</w:t>
            </w:r>
          </w:p>
        </w:tc>
      </w:tr>
      <w:tr>
        <w:tc>
          <w:tcPr>
            <w:tcW w:type="dxa" w:w="22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Privacy</w:t>
            </w:r>
          </w:p>
        </w:tc>
        <w:tc>
          <w:tcPr>
            <w:tcW w:type="dxa" w:w="66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PII (employee ID, bank details) tokenized before reaching the LLM context; only category-level, non-identifying fields sent to the reasoning step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Identity &amp; access</w:t>
            </w:r>
          </w:p>
        </w:tc>
        <w:tc>
          <w:tcPr>
            <w:tcW w:type="dxa" w:w="6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SSO/OAuth2 at the API gateway; RBAC for Finance reviewers vs. read-only auditors; every override attributed to a named reviewer</w:t>
            </w:r>
          </w:p>
        </w:tc>
      </w:tr>
      <w:tr>
        <w:tc>
          <w:tcPr>
            <w:tcW w:type="dxa" w:w="22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Finance system integration</w:t>
            </w:r>
          </w:p>
        </w:tc>
        <w:tc>
          <w:tcPr>
            <w:tcW w:type="dxa" w:w="66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Async event (Event Grid/Kafka) or batch file to ERP (SAP Concur/Oracle Fusion) for GL posting; idempotency keys prevent double-posting on retry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Observability</w:t>
            </w:r>
          </w:p>
        </w:tc>
        <w:tc>
          <w:tcPr>
            <w:tcW w:type="dxa" w:w="6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Per-node tracing (LangSmith/OpenTelemetry) of tool latency, retrieval hit-rate, confidence distribution, and Manual Review rate as a leading indicator of policy drift</w:t>
            </w:r>
          </w:p>
        </w:tc>
      </w:tr>
      <w:tr>
        <w:tc>
          <w:tcPr>
            <w:tcW w:type="dxa" w:w="22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Cost</w:t>
            </w:r>
          </w:p>
        </w:tc>
        <w:tc>
          <w:tcPr>
            <w:tcW w:type="dxa" w:w="66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LLM called once per claim for explanation only (not per tool call); cache policy retrieval per category/city-tier combination; batch low-priority claims off-peak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Latency</w:t>
            </w:r>
          </w:p>
        </w:tc>
        <w:tc>
          <w:tcPr>
            <w:tcW w:type="dxa" w:w="6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Target &lt; 5s for auto-decidable claims (no LLM call needed on the hard-reject/hard-review paths); LLM reasoning path budgeted at 2-3s p95</w:t>
            </w:r>
          </w:p>
        </w:tc>
      </w:tr>
      <w:tr>
        <w:tc>
          <w:tcPr>
            <w:tcW w:type="dxa" w:w="22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Scalability</w:t>
            </w:r>
          </w:p>
        </w:tc>
        <w:tc>
          <w:tcPr>
            <w:tcW w:type="dxa" w:w="66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Stateless orchestrator pods behind a queue; tool services scale independently; approval-matrix/policy lookups are the hot path and should be cached aggressively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t xml:space="preserve">8. Input / Output Examples</w:t>
      </w:r>
    </w:p>
    <w:p>
      <w:pPr>
        <w:spacing w:after="120"/>
      </w:pPr>
      <w:r>
        <w:t xml:space="preserve">Six sample claims were run through the prototype end-to-end (full JSON in sample_claims.json / sample_decisions.json). Summary: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900"/>
        <w:gridCol w:w="2200"/>
        <w:gridCol w:w="1700"/>
      </w:tblGrid>
      <w:tr>
        <w:trPr>
          <w:tblHeader/>
        </w:trPr>
        <w:tc>
          <w:tcPr>
            <w:tcW w:type="dxa" w:w="1400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Claim</w:t>
            </w:r>
          </w:p>
        </w:tc>
        <w:tc>
          <w:tcPr>
            <w:tcW w:type="dxa" w:w="1600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Requested</w:t>
            </w:r>
          </w:p>
        </w:tc>
        <w:tc>
          <w:tcPr>
            <w:tcW w:type="dxa" w:w="1900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Approved</w:t>
            </w:r>
          </w:p>
        </w:tc>
        <w:tc>
          <w:tcPr>
            <w:tcW w:type="dxa" w:w="2200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  <w:tc>
          <w:tcPr>
            <w:tcW w:type="dxa" w:w="1700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flag(s)</w:t>
            </w:r>
          </w:p>
        </w:tc>
      </w:tr>
      <w:tr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CLM-1001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₹16,850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₹16,850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Manual Review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Above ₹10k auto-approval threshold → needs Manager sign-off</w:t>
            </w:r>
          </w:p>
        </w:tc>
      </w:tr>
      <w:tr>
        <w:tc>
          <w:tcPr>
            <w:tcW w:type="dxa" w:w="14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CLM-1002</w:t>
            </w:r>
          </w:p>
        </w:tc>
        <w:tc>
          <w:tcPr>
            <w:tcW w:type="dxa" w:w="16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₹23,100</w:t>
            </w:r>
          </w:p>
        </w:tc>
        <w:tc>
          <w:tcPr>
            <w:tcW w:type="dxa" w:w="19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₹20,600</w:t>
            </w:r>
          </w:p>
        </w:tc>
        <w:tc>
          <w:tcPr>
            <w:tcW w:type="dxa" w:w="22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Partially Approve</w:t>
            </w:r>
          </w:p>
        </w:tc>
        <w:tc>
          <w:tcPr>
            <w:tcW w:type="dxa" w:w="17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Flight ₹17,500 &gt; ₹15,000 cap → excess disallowed</w:t>
            </w:r>
          </w:p>
        </w:tc>
      </w:tr>
      <w:tr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CLM-1003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₹11,300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₹7,000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Manual Review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Hotel line item missing receipt</w:t>
            </w:r>
          </w:p>
        </w:tc>
      </w:tr>
      <w:tr>
        <w:tc>
          <w:tcPr>
            <w:tcW w:type="dxa" w:w="14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CLM-1004</w:t>
            </w:r>
          </w:p>
        </w:tc>
        <w:tc>
          <w:tcPr>
            <w:tcW w:type="dxa" w:w="16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₹8,200</w:t>
            </w:r>
          </w:p>
        </w:tc>
        <w:tc>
          <w:tcPr>
            <w:tcW w:type="dxa" w:w="19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₹8,200</w:t>
            </w:r>
          </w:p>
        </w:tc>
        <w:tc>
          <w:tcPr>
            <w:tcW w:type="dxa" w:w="22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Manual Review</w:t>
            </w:r>
          </w:p>
        </w:tc>
        <w:tc>
          <w:tcPr>
            <w:tcW w:type="dxa" w:w="17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Duplicate of CLM-1001 (same vendor/amount/date)</w:t>
            </w:r>
          </w:p>
        </w:tc>
      </w:tr>
      <w:tr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CLM-1005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₹53,300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₹0 (pending)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Manual Review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Exception claimed → always routed, never auto-approved</w:t>
            </w:r>
          </w:p>
        </w:tc>
      </w:tr>
      <w:tr>
        <w:tc>
          <w:tcPr>
            <w:tcW w:type="dxa" w:w="14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CLM-1006</w:t>
            </w:r>
          </w:p>
        </w:tc>
        <w:tc>
          <w:tcPr>
            <w:tcW w:type="dxa" w:w="16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₹6,580</w:t>
            </w:r>
          </w:p>
        </w:tc>
        <w:tc>
          <w:tcPr>
            <w:tcW w:type="dxa" w:w="19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₹6,580</w:t>
            </w:r>
          </w:p>
        </w:tc>
        <w:tc>
          <w:tcPr>
            <w:tcW w:type="dxa" w:w="22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Approve</w:t>
            </w:r>
          </w:p>
        </w:tc>
        <w:tc>
          <w:tcPr>
            <w:tcW w:type="dxa" w:w="17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Fully compliant, under threshold, no flags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Full structured output for CLM-1002 (Partially Approve), showing the schema every claim produces: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"decision_id": "85d035f1-7be1-44ea-9177-9d2f2470f277",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"claim_id": "CLM-1002",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"employee_id": "E7734",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"decision": "Partially Approve",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"requested_amount": 23100,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"approved_amount": 20600,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"rejected_amount": 2500,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"confidence": 1,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"flags": [],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"policy_references": [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"POL-APPROVAL-01",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"POL-FLIGHT-01",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"POL-HOTEL-01",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"POL-MEALS-01"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],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"line_item_breakdown": [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"category": "flight",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"requested": 17500,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"cap": 15000,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"approvable": 15000,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"receipt_valid": true,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"over_cap_pct": 16.7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"category": "hotel",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"requested": 4200,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"cap": 7000,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"approvable": 4200,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"receipt_valid": true,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"over_cap_pct": 0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"category": "meals",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"requested": 1400,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"cap": 1500,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"approvable": 1400,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"receipt_valid": true,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"over_cap_pct": 0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],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"required_approver": "Manager",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"rationale": "Some line items exceed policy caps or failed receipt validation; the compliant portion is approved and the remainder is disallowed.",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"generated_at": "2026-09-07T03:33:27.101609+00:00"</w:t>
      </w:r>
    </w:p>
    <w:p>
      <w:pPr>
        <w:shd w:fill="F6F8FA" w:val="clear"/>
        <w:spacing w:after="20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pStyle w:val="Heading1"/>
        <w:spacing w:after="140" w:before="320"/>
      </w:pPr>
      <w:r>
        <w:t xml:space="preserve">9. Feasibility Evidence</w:t>
      </w:r>
    </w:p>
    <w:p>
      <w:pPr>
        <w:spacing w:after="120"/>
      </w:pPr>
      <w:r>
        <w:t xml:space="preserve">A runnable Python prototype (agent.py, ~330 lines) implements every tool contract above against mock data (policy_kb.json, finance_db.sqlite) and produces the table in §8 deterministically. Excerpt of the execution trace for CLM-1003 (missing-receipt path):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===== Claim CLM-1003 =====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[intake] claim_id=CLM-1003 employee=E2210 requested_total=11300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[receipt] flight (R-9201) -&gt; valid, cap=15000, amount=6100, over_cap_pct=0%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[receipt] hotel (None) -&gt; INVALID (missing_receipt)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[receipt] meals (R-9203) -&gt; valid, cap=1500, amount=900, over_cap_pct=0%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[approval_matrix] approved_total=7000 -&gt; approver=System (Auto), auto_approvable=True</w:t>
      </w:r>
    </w:p>
    <w:p>
      <w:pPr>
        <w:shd w:fill="F6F8FA" w:val="clear"/>
        <w:spacing w:after="200"/>
      </w:pPr>
      <w:r>
        <w:rPr>
          <w:rFonts w:ascii="Consolas" w:cs="Consolas" w:eastAsia="Consolas" w:hAnsi="Consolas"/>
          <w:sz w:val="15"/>
          <w:szCs w:val="15"/>
        </w:rPr>
        <w:t xml:space="preserve">[decision] Manual Review | approved=7000/11300 | confidence=0.60 | flags=['hotel:missing_receipt']</w:t>
      </w:r>
    </w:p>
    <w:p>
      <w:pPr>
        <w:spacing w:after="120"/>
      </w:pPr>
      <w:r>
        <w:t xml:space="preserve">Full trace for all six claims is in workflow_trace.txt; the runnable source is in agent.py, data in policy_kb.json / sample_claims.json / finance_db.sqlite. This satisfies the assignment's feasibility requirement without a UI: the orchestration logic, tool boundaries, and decision schema are all exercised on realistic sample data.</w:t>
      </w:r>
    </w:p>
    <w:p>
      <w:pPr>
        <w:pStyle w:val="Heading1"/>
        <w:spacing w:after="140" w:before="320"/>
      </w:pPr>
      <w:r>
        <w:t xml:space="preserve">10. Deployment Architecture</w:t>
      </w:r>
    </w:p>
    <w:p>
      <w:pPr>
        <w:spacing w:after="120"/>
      </w:pPr>
      <w:r>
        <w:t xml:space="preserve">Two deployment targets are shown for the same logical architecture — the tool contracts and decision engine are identical in both; only the hosting substrate changes.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4181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Figure 3 — On-premises vs. cloud (Azure) deployment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On-premises: Kubernetes-hosted orchestrator, self-hosted or proxied LLM, on-prem vector/SQL/object stores — chosen when data residency or existing SAP/legacy ERP integration mandates it. Higher fixed ops cost, predictable capacity.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Cloud (Azure): serverless/container orchestrator, Azure OpenAI, Azure AI Search (RAG), Azure SQL, Blob + Document Intelligence for receipts — chosen for bursty claim volume (e.g. month-end) and lower ops overhead. Requires private endpoints and a fixed data-residency region for regulated customers.</w:t>
      </w:r>
    </w:p>
    <w:p>
      <w:pPr>
        <w:pStyle w:val="Heading1"/>
        <w:spacing w:after="140" w:before="320"/>
      </w:pPr>
      <w:r>
        <w:t xml:space="preserve">11. Risks, Limitations &amp; Next Steps</w:t>
      </w:r>
    </w:p>
    <w:p>
      <w:pPr>
        <w:pStyle w:val="Heading2"/>
        <w:spacing w:after="110" w:before="220"/>
      </w:pPr>
      <w:r>
        <w:t xml:space="preserve">Manual Review triggers (by design)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Missing or unreadable receipt for any line item above the policy threshold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Duplicate vendor+amount+date match against reimbursement history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Any line item exceeding its category cap by more than 20%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Claimed policy exception (always, regardless of amount)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Total claim amount above the system auto-approval threshold (routed to the appropriate human approver, not rejected)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Composite confidence score below 0.75</w:t>
      </w:r>
    </w:p>
    <w:p>
      <w:pPr>
        <w:pStyle w:val="Heading2"/>
        <w:spacing w:after="110" w:before="220"/>
      </w:pPr>
      <w:r>
        <w:t xml:space="preserve">Known limitations of this prototype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Policy retrieval is keyword match, not embeddings — production needs a real vector index and periodic re-indexing on policy updates.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Receipt validation is mocked (no real OCR/Document AI call) — field cross-checking against actual scanned images is a v2 integration.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Split-claim fraud (same expense divided across multiple small claims to dodge thresholds) is only partially covered — needs a time-windowed aggregate check across an employee's recent claims, not just exact-match duplicates.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multi-currency, multi-entity, or international travel support in this scope.</w:t>
      </w:r>
    </w:p>
    <w:p>
      <w:pPr>
        <w:pStyle w:val="Heading2"/>
        <w:spacing w:after="110" w:before="220"/>
      </w:pPr>
      <w:r>
        <w:t xml:space="preserve">Governance &amp; production next steps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Human-in-the-loop UI for the review queue with one-click approve/override/escalate and mandatory reviewer comments on override.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Model risk log: track LLM explanation drift vs. rule-engine outcome over time; alert if explanation and decision ever diverge.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Periodic policy-KB re-embedding pipeline with a diff report so Finance can see what changed and re-validate cached decisions if needed.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Load testing for month-end claim surges; cost monitoring per claim (tool calls + LLM tokens) with a per-claim budget alert.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40" w:before="300"/>
    </w:pPr>
    <w:rPr>
      <w:b/>
      <w:bCs/>
      <w:color w:val="1F6FEB"/>
      <w:sz w:val="30"/>
      <w:szCs w:val="30"/>
    </w:rPr>
  </w:style>
  <w:style w:type="paragraph" w:styleId="Heading2">
    <w:name w:val="Heading 2"/>
    <w:basedOn w:val="Normal"/>
    <w:next w:val="Normal"/>
    <w:pPr>
      <w:spacing w:after="100" w:before="220"/>
    </w:pPr>
    <w:rPr>
      <w:b/>
      <w:bCs/>
      <w:color w:val="1F29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2c672b951561353fc98d286d5151e6b0ab216cb.png"/><Relationship Id="rId8" Type="http://schemas.openxmlformats.org/officeDocument/2006/relationships/image" Target="media/c7d3c3a4bf43c9119615271ecad3d4baabab7c55.png"/><Relationship Id="rId9" Type="http://schemas.openxmlformats.org/officeDocument/2006/relationships/image" Target="media/0567c56cafea9b76c418ebafbab44ed6c1c0e74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2026-09-07T04:06:05.998Z</dcterms:created>
  <dcterms:modified xsi:type="dcterms:W3CDTF">2026-09-07T04:06:05.998Z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