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60" w:line="264" w:lineRule="auto"/>
      </w:pPr>
      <w:r>
        <w:rPr>
          <w:b/>
          <w:sz w:val="40"/>
          <w:szCs w:val="40"/>
          <w:color w:val="0B2545"/>
          <w:rFonts w:ascii="Calibri" w:hAnsi="Calibri"/>
        </w:rPr>
        <w:t xml:space="preserve">CHANGE CASE EVIDENCE REVIEW</w:t>
      </w:r>
    </w:p>
    <w:p>
      <w:pPr>
        <w:spacing w:before="0" w:after="220" w:line="264" w:lineRule="auto"/>
      </w:pPr>
      <w:r>
        <w:rPr>
          <w:sz w:val="27"/>
          <w:szCs w:val="27"/>
          <w:color w:val="526777"/>
          <w:rFonts w:ascii="Calibri" w:hAnsi="Calibri"/>
        </w:rPr>
        <w:t xml:space="preserve">Reliable way to confirm whether a tenant's AIDE ID is funded during onboarding process</w:t>
      </w:r>
    </w:p>
    <w:p>
      <w:pPr>
        <w:spacing w:after="40" w:line="264" w:lineRule="auto"/>
      </w:pPr>
      <w:r>
        <w:rPr>
          <w:b/>
          <w:rFonts w:ascii="Calibri" w:hAnsi="Calibri"/>
        </w:rPr>
        <w:t xml:space="preserve">Change case: </w:t>
      </w:r>
      <w:r>
        <w:rPr>
          <w:i/>
          <w:rFonts w:ascii="Calibri" w:hAnsi="Calibri"/>
        </w:rPr>
        <w:t xml:space="preserve">32f4fc97-4f16-4a7a-a678-4a647ac8f854</w:t>
      </w:r>
    </w:p>
    <w:p>
      <w:pPr>
        <w:spacing w:after="40" w:line="264" w:lineRule="auto"/>
      </w:pPr>
      <w:r>
        <w:rPr>
          <w:b/>
          <w:rFonts w:ascii="Calibri" w:hAnsi="Calibri"/>
        </w:rPr>
        <w:t xml:space="preserve">Workspace: </w:t>
      </w:r>
      <w:r>
        <w:rPr>
          <w:i/>
          <w:rFonts w:ascii="Calibri" w:hAnsi="Calibri"/>
        </w:rPr>
        <w:t xml:space="preserve">aaaaaaaa-aaaa-4aaa-8aaa-aaaaaaaaaaaa</w:t>
      </w:r>
    </w:p>
    <w:p>
      <w:pPr>
        <w:spacing w:after="200" w:line="264" w:lineRule="auto"/>
      </w:pPr>
      <w:r>
        <w:rPr>
          <w:b/>
          <w:rFonts w:ascii="Calibri" w:hAnsi="Calibri"/>
        </w:rPr>
        <w:t xml:space="preserve">Status: </w:t>
      </w:r>
      <w:r>
        <w:rPr>
          <w:b/>
          <w:color w:val="9B1C1C"/>
          <w:rFonts w:ascii="Calibri" w:hAnsi="Calibri"/>
        </w:rPr>
        <w:t xml:space="preserve">AWAITING_VERIFICATION  •  R2</w:t>
      </w:r>
    </w:p>
    <w:p>
      <w:pPr>
        <w:pStyle w:val="Heading1"/>
        <w:spacing w:before="0" w:after="100" w:line="264" w:lineRule="auto"/>
      </w:pPr>
      <w:r>
        <w:rPr>
          <w:rFonts w:ascii="Calibri" w:hAnsi="Calibri"/>
        </w:rPr>
        <w:t xml:space="preserve">Executive finding</w:t>
      </w:r>
    </w:p>
    <w:p>
      <w:pPr>
        <w:spacing w:before="140" w:after="160" w:line="264" w:lineRule="auto"/>
        <w:shd w:val="clear" w:fill="F4F6F9"/>
      </w:pPr>
      <w:r>
        <w:rPr>
          <w:rFonts w:ascii="Calibri" w:hAnsi="Calibri"/>
        </w:rPr>
        <w:t xml:space="preserve">All five approved stories have observable implementation coverage in the current candidate workspace. However, the ADX evidence record retains only opaque candidate digests—not a path-level patch manifest—and the shared candidate directory changed after the retained runs. The current files therefore support implementation review but cannot prove which exact paths were created by either historical run.</w:t>
      </w:r>
    </w:p>
    <w:p>
      <w:pPr>
        <w:pStyle w:val="Heading1"/>
        <w:spacing w:before="0" w:after="90" w:line="264" w:lineRule="auto"/>
      </w:pPr>
      <w:r>
        <w:rPr>
          <w:rFonts w:ascii="Calibri" w:hAnsi="Calibri"/>
        </w:rPr>
        <w:t xml:space="preserve">Case and execution record</w:t>
      </w:r>
    </w:p>
    <w:p>
      <w:pPr>
        <w:spacing w:before="0" w:after="120" w:line="264" w:lineRule="auto"/>
      </w:pPr>
      <w:r>
        <w:rPr>
          <w:rFonts w:ascii="Calibri" w:hAnsi="Calibri"/>
        </w:rPr>
        <w:t xml:space="preserve">The case reached AWAITING_VERIFICATION after two failed and two completed execution attempts. The first completed run produced candidate digest sha256:5b4ed2922c16b726bcc7ebc4da7c288c91f1fe27400435d8a300a1373b3445d8. The later completed run produced sha256:707a2f9aa8bbc0a7155b82f6f10350465dffd2572110821d9c7d3088157d1722.</w:t>
      </w:r>
    </w:p>
    <w:p>
      <w:pPr>
        <w:spacing w:before="80" w:after="160" w:line="264" w:lineRule="auto"/>
        <w:shd w:val="clear" w:fill="FFF4D6"/>
      </w:pPr>
      <w:r>
        <w:rPr>
          <w:rFonts w:ascii="Calibri" w:hAnsi="Calibri"/>
        </w:rPr>
        <w:t xml:space="preserve">The retained PASS evidence is bound only to the first completed digest. It was generated by adx-local-independent-suite 1.0.0 and checks basic candidate safety/integrity; it did not execute the frontend or Python unit tests. No evidence bundle is retained for the later digest.</w:t>
      </w:r>
    </w:p>
    <w:p>
      <w:pPr>
        <w:pStyle w:val="Heading1"/>
        <w:spacing w:before="0" w:after="80" w:line="264" w:lineRule="auto"/>
      </w:pPr>
      <w:r>
        <w:rPr>
          <w:rFonts w:ascii="Calibri" w:hAnsi="Calibri"/>
        </w:rPr>
        <w:t xml:space="preserve">Story-by-story accounting</w:t>
      </w:r>
    </w:p>
    <w:p>
      <w:pPr>
        <w:spacing w:before="0" w:after="80" w:line="264" w:lineRule="auto"/>
      </w:pPr>
      <w:r>
        <w:rPr>
          <w:i/>
          <w:sz w:val="19"/>
          <w:szCs w:val="19"/>
          <w:color w:val="526777"/>
          <w:rFonts w:ascii="Calibri" w:hAnsi="Calibri"/>
        </w:rPr>
        <w:t xml:space="preserve">Observable candidate implementation, not an immutable historical file manifest.</w:t>
      </w:r>
    </w:p>
    <w:tbl>
      <w:tblPr>
        <w:tblW w:w="9360" w:type="dxa"/>
        <w:tblInd w:w="120" w:type="dxa"/>
        <w:tblLayout w:type="fixed"/>
        <w:tblBorders>
          <w:top w:val="single" w:sz="4" w:color="B7C6D9"/>
          <w:left w:val="single" w:sz="4" w:color="B7C6D9"/>
          <w:bottom w:val="single" w:sz="4" w:color="B7C6D9"/>
          <w:right w:val="single" w:sz="4" w:color="B7C6D9"/>
          <w:insideH w:val="single" w:sz="4" w:color="D9E2EF"/>
          <w:insideV w:val="single" w:sz="4" w:color="D9E2EF"/>
        </w:tblBorders>
      </w:tblPr>
      <w:tblGrid>
        <w:gridCol w:w="1300"/>
        <w:gridCol w:w="3100"/>
        <w:gridCol w:w="4960"/>
      </w:tblGrid>
      <w:tr>
        <w:tc>
          <w:tcPr>
            <w:tcW w:w="1300" w:type="dxa"/>
            <w:shd w:val="clear" w:fill="E8EEF5"/>
            <w:tcMar>
              <w:top w:w="80" w:type="dxa"/>
              <w:start w:w="120" w:type="dxa"/>
              <w:bottom w:w="80" w:type="dxa"/>
              <w:end w:w="120" w:type="dxa"/>
            </w:tcMar>
            <w:vAlign w:val="center"/>
          </w:tcPr>
          <w:p>
            <w:pPr/>
            <w:r>
              <w:rPr>
                <w:b/>
                <w:sz w:val="20"/>
                <w:szCs w:val="20"/>
                <w:rFonts w:ascii="Calibri" w:hAnsi="Calibri"/>
              </w:rPr>
              <w:t xml:space="preserve">Story</w:t>
            </w:r>
          </w:p>
        </w:tc>
        <w:tc>
          <w:tcPr>
            <w:tcW w:w="3100" w:type="dxa"/>
            <w:shd w:val="clear" w:fill="E8EEF5"/>
            <w:tcMar>
              <w:top w:w="80" w:type="dxa"/>
              <w:start w:w="120" w:type="dxa"/>
              <w:bottom w:w="80" w:type="dxa"/>
              <w:end w:w="120" w:type="dxa"/>
            </w:tcMar>
            <w:vAlign w:val="center"/>
          </w:tcPr>
          <w:p>
            <w:pPr/>
            <w:r>
              <w:rPr>
                <w:b/>
                <w:sz w:val="20"/>
                <w:szCs w:val="20"/>
                <w:rFonts w:ascii="Calibri" w:hAnsi="Calibri"/>
              </w:rPr>
              <w:t xml:space="preserve">Approved outcome</w:t>
            </w:r>
          </w:p>
        </w:tc>
        <w:tc>
          <w:tcPr>
            <w:tcW w:w="4960" w:type="dxa"/>
            <w:shd w:val="clear" w:fill="E8EEF5"/>
            <w:tcMar>
              <w:top w:w="80" w:type="dxa"/>
              <w:start w:w="120" w:type="dxa"/>
              <w:bottom w:w="80" w:type="dxa"/>
              <w:end w:w="120" w:type="dxa"/>
            </w:tcMar>
            <w:vAlign w:val="center"/>
          </w:tcPr>
          <w:p>
            <w:pPr/>
            <w:r>
              <w:rPr>
                <w:b/>
                <w:sz w:val="20"/>
                <w:szCs w:val="20"/>
                <w:rFonts w:ascii="Calibri" w:hAnsi="Calibri"/>
              </w:rPr>
              <w:t xml:space="preserve">Observed implementation files and behavior</w:t>
            </w:r>
          </w:p>
        </w:tc>
      </w:tr>
      <w:tr>
        <w:tc>
          <w:tcPr>
            <w:tcW w:w="1300" w:type="dxa"/>
            <w:tcMar>
              <w:top w:w="80" w:type="dxa"/>
              <w:start w:w="120" w:type="dxa"/>
              <w:bottom w:w="80" w:type="dxa"/>
              <w:end w:w="120" w:type="dxa"/>
            </w:tcMar>
            <w:vAlign w:val="center"/>
          </w:tcPr>
          <w:p>
            <w:pPr/>
            <w:r>
              <w:rPr>
                <w:sz w:val="19"/>
                <w:szCs w:val="19"/>
                <w:rFonts w:ascii="Calibri" w:hAnsi="Calibri"/>
              </w:rPr>
              <w:t xml:space="preserve">STORY-1</w:t>
            </w:r>
          </w:p>
        </w:tc>
        <w:tc>
          <w:tcPr>
            <w:tcW w:w="3100" w:type="dxa"/>
            <w:tcMar>
              <w:top w:w="80" w:type="dxa"/>
              <w:start w:w="120" w:type="dxa"/>
              <w:bottom w:w="80" w:type="dxa"/>
              <w:end w:w="120" w:type="dxa"/>
            </w:tcMar>
            <w:vAlign w:val="center"/>
          </w:tcPr>
          <w:p>
            <w:pPr/>
            <w:r>
              <w:rPr>
                <w:sz w:val="19"/>
                <w:szCs w:val="19"/>
                <w:rFonts w:ascii="Calibri" w:hAnsi="Calibri"/>
              </w:rPr>
              <w:t xml:space="preserve">View tenant AIDE funding during onboarding</w:t>
            </w:r>
          </w:p>
        </w:tc>
        <w:tc>
          <w:tcPr>
            <w:tcW w:w="4960" w:type="dxa"/>
            <w:tcMar>
              <w:top w:w="80" w:type="dxa"/>
              <w:start w:w="120" w:type="dxa"/>
              <w:bottom w:w="80" w:type="dxa"/>
              <w:end w:w="120" w:type="dxa"/>
            </w:tcMar>
            <w:vAlign w:val="center"/>
          </w:tcPr>
          <w:p>
            <w:pPr/>
            <w:r>
              <w:rPr>
                <w:sz w:val="19"/>
                <w:szCs w:val="19"/>
                <w:rFonts w:ascii="Calibri" w:hAnsi="Calibri"/>
              </w:rPr>
              <w:t xml:space="preserve">TenantOnboardingFundingStatus.jsx; TenantWorkflow.jsx; TenantOnboardingFundingStatus.test.jsx. The component displays the tenant-level AIDE ID and funding state.</w:t>
            </w:r>
          </w:p>
        </w:tc>
      </w:tr>
      <w:tr>
        <w:tc>
          <w:tcPr>
            <w:tcW w:w="1300" w:type="dxa"/>
            <w:tcMar>
              <w:top w:w="80" w:type="dxa"/>
              <w:start w:w="120" w:type="dxa"/>
              <w:bottom w:w="80" w:type="dxa"/>
              <w:end w:w="120" w:type="dxa"/>
            </w:tcMar>
            <w:vAlign w:val="center"/>
          </w:tcPr>
          <w:p>
            <w:pPr/>
            <w:r>
              <w:rPr>
                <w:sz w:val="19"/>
                <w:szCs w:val="19"/>
                <w:rFonts w:ascii="Calibri" w:hAnsi="Calibri"/>
              </w:rPr>
              <w:t xml:space="preserve">STORY-2</w:t>
            </w:r>
          </w:p>
        </w:tc>
        <w:tc>
          <w:tcPr>
            <w:tcW w:w="3100" w:type="dxa"/>
            <w:tcMar>
              <w:top w:w="80" w:type="dxa"/>
              <w:start w:w="120" w:type="dxa"/>
              <w:bottom w:w="80" w:type="dxa"/>
              <w:end w:w="120" w:type="dxa"/>
            </w:tcMar>
            <w:vAlign w:val="center"/>
          </w:tcPr>
          <w:p>
            <w:pPr/>
            <w:r>
              <w:rPr>
                <w:sz w:val="19"/>
                <w:szCs w:val="19"/>
                <w:rFonts w:ascii="Calibri" w:hAnsi="Calibri"/>
              </w:rPr>
              <w:t xml:space="preserve">Validate funding from account data</w:t>
            </w:r>
          </w:p>
        </w:tc>
        <w:tc>
          <w:tcPr>
            <w:tcW w:w="4960" w:type="dxa"/>
            <w:tcMar>
              <w:top w:w="80" w:type="dxa"/>
              <w:start w:w="120" w:type="dxa"/>
              <w:bottom w:w="80" w:type="dxa"/>
              <w:end w:w="120" w:type="dxa"/>
            </w:tcMar>
            <w:vAlign w:val="center"/>
          </w:tcPr>
          <w:p>
            <w:pPr/>
            <w:r>
              <w:rPr>
                <w:sz w:val="19"/>
                <w:szCs w:val="19"/>
                <w:rFonts w:ascii="Calibri" w:hAnsi="Calibri"/>
              </w:rPr>
              <w:t xml:space="preserve">tenant_account_data_service/handler.py and test_handler.py; TenantOnboardingFundingStatus.jsx. The handler enriches extracted accounts through the Account Manager Financial API.</w:t>
            </w:r>
          </w:p>
        </w:tc>
      </w:tr>
      <w:tr>
        <w:tc>
          <w:tcPr>
            <w:tcW w:w="1300" w:type="dxa"/>
            <w:tcMar>
              <w:top w:w="80" w:type="dxa"/>
              <w:start w:w="120" w:type="dxa"/>
              <w:bottom w:w="80" w:type="dxa"/>
              <w:end w:w="120" w:type="dxa"/>
            </w:tcMar>
            <w:vAlign w:val="center"/>
          </w:tcPr>
          <w:p>
            <w:pPr/>
            <w:r>
              <w:rPr>
                <w:sz w:val="19"/>
                <w:szCs w:val="19"/>
                <w:rFonts w:ascii="Calibri" w:hAnsi="Calibri"/>
              </w:rPr>
              <w:t xml:space="preserve">STORY-3</w:t>
            </w:r>
          </w:p>
        </w:tc>
        <w:tc>
          <w:tcPr>
            <w:tcW w:w="3100" w:type="dxa"/>
            <w:tcMar>
              <w:top w:w="80" w:type="dxa"/>
              <w:start w:w="120" w:type="dxa"/>
              <w:bottom w:w="80" w:type="dxa"/>
              <w:end w:w="120" w:type="dxa"/>
            </w:tcMar>
            <w:vAlign w:val="center"/>
          </w:tcPr>
          <w:p>
            <w:pPr/>
            <w:r>
              <w:rPr>
                <w:sz w:val="19"/>
                <w:szCs w:val="19"/>
                <w:rFonts w:ascii="Calibri" w:hAnsi="Calibri"/>
              </w:rPr>
              <w:t xml:space="preserve">Create follow-up for active unfunded tenants</w:t>
            </w:r>
          </w:p>
        </w:tc>
        <w:tc>
          <w:tcPr>
            <w:tcW w:w="4960" w:type="dxa"/>
            <w:tcMar>
              <w:top w:w="80" w:type="dxa"/>
              <w:start w:w="120" w:type="dxa"/>
              <w:bottom w:w="80" w:type="dxa"/>
              <w:end w:w="120" w:type="dxa"/>
            </w:tcMar>
            <w:vAlign w:val="center"/>
          </w:tcPr>
          <w:p>
            <w:pPr/>
            <w:r>
              <w:rPr>
                <w:sz w:val="19"/>
                <w:szCs w:val="19"/>
                <w:rFonts w:ascii="Calibri" w:hAnsi="Calibri"/>
              </w:rPr>
              <w:t xml:space="preserve">tenant_action/account_field_log.py; tenant_action/handler.py; test_account_field_log.py. Creates the aide_id_funding action and publishes an AE Operations SNS notification.</w:t>
            </w:r>
          </w:p>
        </w:tc>
      </w:tr>
      <w:tr>
        <w:tc>
          <w:tcPr>
            <w:tcW w:w="1300" w:type="dxa"/>
            <w:tcMar>
              <w:top w:w="80" w:type="dxa"/>
              <w:start w:w="120" w:type="dxa"/>
              <w:bottom w:w="80" w:type="dxa"/>
              <w:end w:w="120" w:type="dxa"/>
            </w:tcMar>
            <w:vAlign w:val="center"/>
          </w:tcPr>
          <w:p>
            <w:pPr/>
            <w:r>
              <w:rPr>
                <w:sz w:val="19"/>
                <w:szCs w:val="19"/>
                <w:rFonts w:ascii="Calibri" w:hAnsi="Calibri"/>
              </w:rPr>
              <w:t xml:space="preserve">STORY-4</w:t>
            </w:r>
          </w:p>
        </w:tc>
        <w:tc>
          <w:tcPr>
            <w:tcW w:w="3100" w:type="dxa"/>
            <w:tcMar>
              <w:top w:w="80" w:type="dxa"/>
              <w:start w:w="120" w:type="dxa"/>
              <w:bottom w:w="80" w:type="dxa"/>
              <w:end w:w="120" w:type="dxa"/>
            </w:tcMar>
            <w:vAlign w:val="center"/>
          </w:tcPr>
          <w:p>
            <w:pPr/>
            <w:r>
              <w:rPr>
                <w:sz w:val="19"/>
                <w:szCs w:val="19"/>
                <w:rFonts w:ascii="Calibri" w:hAnsi="Calibri"/>
              </w:rPr>
              <w:t xml:space="preserve">Show historical active account funding gaps</w:t>
            </w:r>
          </w:p>
        </w:tc>
        <w:tc>
          <w:tcPr>
            <w:tcW w:w="4960" w:type="dxa"/>
            <w:tcMar>
              <w:top w:w="80" w:type="dxa"/>
              <w:start w:w="120" w:type="dxa"/>
              <w:bottom w:w="80" w:type="dxa"/>
              <w:end w:w="120" w:type="dxa"/>
            </w:tcMar>
            <w:vAlign w:val="center"/>
          </w:tcPr>
          <w:p>
            <w:pPr/>
            <w:r>
              <w:rPr>
                <w:sz w:val="19"/>
                <w:szCs w:val="19"/>
                <w:rFonts w:ascii="Calibri" w:hAnsi="Calibri"/>
              </w:rPr>
              <w:t xml:space="preserve">tenant_action/handler.py; account_field_log.py; test_account_field_log.py. Refreshes account-level AIDE funding for active historical tenants and records unfunded gaps.</w:t>
            </w:r>
          </w:p>
        </w:tc>
      </w:tr>
      <w:tr>
        <w:tc>
          <w:tcPr>
            <w:tcW w:w="1300" w:type="dxa"/>
            <w:tcMar>
              <w:top w:w="80" w:type="dxa"/>
              <w:start w:w="120" w:type="dxa"/>
              <w:bottom w:w="80" w:type="dxa"/>
              <w:end w:w="120" w:type="dxa"/>
            </w:tcMar>
            <w:vAlign w:val="center"/>
          </w:tcPr>
          <w:p>
            <w:pPr/>
            <w:r>
              <w:rPr>
                <w:sz w:val="19"/>
                <w:szCs w:val="19"/>
                <w:rFonts w:ascii="Calibri" w:hAnsi="Calibri"/>
              </w:rPr>
              <w:t xml:space="preserve">STORY-5</w:t>
            </w:r>
          </w:p>
        </w:tc>
        <w:tc>
          <w:tcPr>
            <w:tcW w:w="3100" w:type="dxa"/>
            <w:tcMar>
              <w:top w:w="80" w:type="dxa"/>
              <w:start w:w="120" w:type="dxa"/>
              <w:bottom w:w="80" w:type="dxa"/>
              <w:end w:w="120" w:type="dxa"/>
            </w:tcMar>
            <w:vAlign w:val="center"/>
          </w:tcPr>
          <w:p>
            <w:pPr/>
            <w:r>
              <w:rPr>
                <w:sz w:val="19"/>
                <w:szCs w:val="19"/>
                <w:rFonts w:ascii="Calibri" w:hAnsi="Calibri"/>
              </w:rPr>
              <w:t xml:space="preserve">Block tooling steps for unfunded AIDE IDs</w:t>
            </w:r>
          </w:p>
        </w:tc>
        <w:tc>
          <w:tcPr>
            <w:tcW w:w="4960" w:type="dxa"/>
            <w:tcMar>
              <w:top w:w="80" w:type="dxa"/>
              <w:start w:w="120" w:type="dxa"/>
              <w:bottom w:w="80" w:type="dxa"/>
              <w:end w:w="120" w:type="dxa"/>
            </w:tcMar>
            <w:vAlign w:val="center"/>
          </w:tcPr>
          <w:p>
            <w:pPr/>
            <w:r>
              <w:rPr>
                <w:sz w:val="19"/>
                <w:szCs w:val="19"/>
                <w:rFonts w:ascii="Calibri" w:hAnsi="Calibri"/>
              </w:rPr>
              <w:t xml:space="preserve">TenantOnboardingFundingStatus.jsx; TenantOnboardingFundingStatus.test.jsx; TenantFundingDemo.jsx and CSS. The UI retains onboarding while marking SBL/tooling steps unavailable.</w:t>
            </w:r>
          </w:p>
        </w:tc>
      </w:tr>
    </w:tbl>
    <w:p>
      <w:pPr>
        <w:pStyle w:val="Heading1"/>
        <w:spacing w:before="0" w:after="90" w:line="264" w:lineRule="auto"/>
      </w:pPr>
      <w:r>
        <w:rPr>
          <w:rFonts w:ascii="Calibri" w:hAnsi="Calibri"/>
        </w:rPr>
        <w:t xml:space="preserve">Observed file inventory</w:t>
      </w:r>
    </w:p>
    <w:p>
      <w:pPr>
        <w:spacing w:before="0" w:after="120" w:line="264" w:lineRule="auto"/>
      </w:pPr>
      <w:r>
        <w:rPr>
          <w:rFonts w:ascii="Calibri" w:hAnsi="Calibri"/>
        </w:rPr>
        <w:t xml:space="preserve">Backend: backend/inventory/lambda/tenant_account_data_service/handler.py; backend/inventory/lambda/tenant_account_data_service/test_handler.py; backend/inventory/lambda/tenant_action/account_field_log.py; backend/inventory/lambda/tenant_action/handler.py; backend/inventory/lambda/tenant_action/test_account_field_log.py.</w:t>
      </w:r>
    </w:p>
    <w:p>
      <w:pPr>
        <w:spacing w:before="0" w:after="120" w:line="264" w:lineRule="auto"/>
      </w:pPr>
      <w:r>
        <w:rPr>
          <w:rFonts w:ascii="Calibri" w:hAnsi="Calibri"/>
        </w:rPr>
        <w:t xml:space="preserve">Frontend: frontend/src/index.jsx; frontend/src/pages/TenantWorkflow.jsx; frontend/src/pages/TenantOnboardingFundingStatus.jsx; frontend/src/pages/TenantFundingDemo.jsx; frontend/src/pages/tenant-funding-demo.css; frontend/src/pages/__tests__/TenantOnboardingFundingStatus.test.jsx; frontend/vite.config.js.</w:t>
      </w:r>
    </w:p>
    <w:p>
      <w:pPr>
        <w:pStyle w:val="Heading1"/>
        <w:spacing w:before="0" w:after="90" w:line="264" w:lineRule="auto"/>
      </w:pPr>
      <w:r>
        <w:rPr>
          <w:rFonts w:ascii="Calibri" w:hAnsi="Calibri"/>
        </w:rPr>
        <w:t xml:space="preserve">Audit limitations and release implications</w:t>
      </w:r>
    </w:p>
    <w:p>
      <w:pPr>
        <w:spacing w:before="0" w:after="120" w:line="264" w:lineRule="auto"/>
      </w:pPr>
      <w:r>
        <w:rPr>
          <w:rFonts w:ascii="Calibri" w:hAnsi="Calibri"/>
        </w:rPr>
        <w:t xml:space="preserve">1. No retained manifest. Agent completion artifacts contain a zero-byte application/vnd.adx.candidate-digest record, rather than a file list, patch, or archived candidate tree.</w:t>
      </w:r>
    </w:p>
    <w:p>
      <w:pPr>
        <w:spacing w:before="0" w:after="120" w:line="264" w:lineRule="auto"/>
      </w:pPr>
      <w:r>
        <w:rPr>
          <w:rFonts w:ascii="Calibri" w:hAnsi="Calibri"/>
        </w:rPr>
        <w:t xml:space="preserve">2. Shared-workspace drift. Candidate funding files were modified around 09:11–09:39 EDT on Sep 11; the recorded completed runs occurred around 21:23–22:09 EDT on Sep 10. The current directory is therefore not the immutable artifact covered by either recorded execution.</w:t>
      </w:r>
    </w:p>
    <w:p>
      <w:pPr>
        <w:spacing w:before="0" w:after="120" w:line="264" w:lineRule="auto"/>
      </w:pPr>
      <w:r>
        <w:rPr>
          <w:rFonts w:ascii="Calibri" w:hAnsi="Calibri"/>
        </w:rPr>
        <w:t xml:space="preserve">3. Evidence freshness gap. The only PASS bundle binds to the first digest, while the later completed candidate has no retained verification result.</w:t>
      </w:r>
    </w:p>
    <w:p>
      <w:pPr>
        <w:spacing w:before="100" w:after="120" w:line="264" w:lineRule="auto"/>
        <w:shd w:val="clear" w:fill="F4F6F9"/>
      </w:pPr>
      <w:r>
        <w:rPr>
          <w:rFonts w:ascii="Calibri" w:hAnsi="Calibri"/>
        </w:rPr>
        <w:t xml:space="preserve">4. Recommended gate. Before release, generate an immutable patch/file manifest and archive it with the candidate digest; then run the relevant frontend and Python tests plus the independent verifier against the latest candidate digest.</w:t>
      </w:r>
    </w:p>
    <w:p>
      <w:pPr>
        <w:pStyle w:val="Heading1"/>
        <w:spacing w:before="0" w:after="80" w:line="264" w:lineRule="auto"/>
      </w:pPr>
      <w:r>
        <w:rPr>
          <w:rFonts w:ascii="Calibri" w:hAnsi="Calibri"/>
        </w:rPr>
        <w:t xml:space="preserve">Source basis</w:t>
      </w:r>
    </w:p>
    <w:p>
      <w:pPr/>
      <w:r>
        <w:rPr>
          <w:sz w:val="19"/>
          <w:szCs w:val="19"/>
          <w:color w:val="526777"/>
          <w:rFonts w:ascii="Calibri" w:hAnsi="Calibri"/>
        </w:rPr>
        <w:t xml:space="preserve">Prepared from the local ADX Postgres change-case ledger, agent-run events, evidence bundle, and a read-only comparison of the local cloud-asset-inventory source and shared candidate workspaces. Review performed Sep 11, 2026.</w:t>
      </w:r>
    </w:p>
    <w:sectPr>
      <w:pgSz w:w="12240" w:h="15840"/>
      <w:pgMar w:top="1440" w:right="1440" w:bottom="1440" w:left="1440" w:header="709" w:footer="70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343390">
    <w:abstractNumId w:val="8"/>
  </w:num>
  <w:num w:numId="2" w16cid:durableId="225575434">
    <w:abstractNumId w:val="6"/>
  </w:num>
  <w:num w:numId="3" w16cid:durableId="43606876">
    <w:abstractNumId w:val="5"/>
  </w:num>
  <w:num w:numId="4" w16cid:durableId="169218352">
    <w:abstractNumId w:val="4"/>
  </w:num>
  <w:num w:numId="5" w16cid:durableId="162356010">
    <w:abstractNumId w:val="7"/>
  </w:num>
  <w:num w:numId="6" w16cid:durableId="2031712889">
    <w:abstractNumId w:val="3"/>
  </w:num>
  <w:num w:numId="7" w16cid:durableId="182012407">
    <w:abstractNumId w:val="2"/>
  </w:num>
  <w:num w:numId="8" w16cid:durableId="381174189">
    <w:abstractNumId w:val="1"/>
  </w:num>
  <w:num w:numId="9" w16cid:durableId="3635577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E94"/>
    <w:rsid w:val="0029639D"/>
    <w:rsid w:val="00326F90"/>
    <w:rsid w:val="003C3F83"/>
    <w:rsid w:val="003D705E"/>
    <w:rsid w:val="00AA1D8D"/>
    <w:rsid w:val="00B47730"/>
    <w:rsid w:val="00CB0664"/>
    <w:rsid w:val="00ED0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671B5"/>
  <w14:defaultImageDpi w14:val="300"/>
  <w15:docId w15:val="{A1696073-710F-2945-9CD1-1871D23B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Patidar, Pawan</cp:lastModifiedBy>
  <cp:revision>2</cp:revision>
  <dcterms:created xsi:type="dcterms:W3CDTF">2026-08-06T06:46:00Z</dcterms:created>
  <dcterms:modified xsi:type="dcterms:W3CDTF">2026-08-06T06:46:00Z</dcterms:modified>
  <cp:category/>
</cp:coreProperties>
</file>