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 w:line="264" w:lineRule="auto"/>
      </w:pPr>
      <w:r>
        <w:rPr>
          <w:rFonts w:ascii="Calibri" w:hAnsi="Calibri"/>
          <w:b/>
          <w:sz w:val="40"/>
          <w:szCs w:val="40"/>
          <w:color w:val="0B2545"/>
        </w:rPr>
        <w:t xml:space="preserve">CHANGE CASE EVIDENCE REVIEW</w:t>
      </w:r>
    </w:p>
    <w:p>
      <w:pPr>
        <w:spacing w:before="0" w:after="180" w:line="264" w:lineRule="auto"/>
      </w:pPr>
      <w:r>
        <w:rPr>
          <w:rFonts w:ascii="Calibri" w:hAnsi="Calibri"/>
          <w:sz w:val="27"/>
          <w:szCs w:val="27"/>
          <w:color w:val="526777"/>
        </w:rPr>
        <w:t xml:space="preserve">Reliable way to confirm whether a tenant's AIDE ID is funded during onboarding process</w:t>
      </w:r>
    </w:p>
    <w:p>
      <w:pPr>
        <w:spacing w:before="0" w:after="40" w:line="264" w:lineRule="auto"/>
      </w:pPr>
      <w:r>
        <w:rPr>
          <w:rFonts w:ascii="Calibri" w:hAnsi="Calibri"/>
          <w:sz w:val="20"/>
          <w:szCs w:val="20"/>
          <w:color w:val="172B4D"/>
        </w:rPr>
        <w:t xml:space="preserve">Change case: f8c50ed1-c968-4ec2-838b-767b7f0fc97b</w:t>
      </w:r>
    </w:p>
    <w:p>
      <w:pPr>
        <w:spacing w:before="0" w:after="40" w:line="264" w:lineRule="auto"/>
      </w:pPr>
      <w:r>
        <w:rPr>
          <w:rFonts w:ascii="Calibri" w:hAnsi="Calibri"/>
          <w:sz w:val="20"/>
          <w:szCs w:val="20"/>
          <w:color w:val="172B4D"/>
        </w:rPr>
        <w:t xml:space="preserve">Workspace: aaaaaaaa-aaaa-4aaa-8aaa-aaaaaaaaaaaa</w:t>
      </w:r>
    </w:p>
    <w:p>
      <w:pPr>
        <w:spacing w:before="0" w:after="180" w:line="264" w:lineRule="auto"/>
      </w:pPr>
      <w:r>
        <w:rPr>
          <w:rFonts w:ascii="Calibri" w:hAnsi="Calibri"/>
          <w:b/>
          <w:sz w:val="20"/>
          <w:szCs w:val="20"/>
          <w:color w:val="9B1C1C"/>
        </w:rPr>
        <w:t xml:space="preserve">Status: AWAITING_VERIFICATION  •  Risk tier R2</w:t>
      </w:r>
    </w:p>
    <w:p>
      <w:pPr>
        <w:pStyle w:val="Heading1"/>
        <w:spacing w:before="120" w:after="90" w:line="264" w:lineRule="auto"/>
      </w:pPr>
      <w:r>
        <w:rPr>
          <w:rFonts w:ascii="Calibri" w:hAnsi="Calibri"/>
          <w:b/>
          <w:sz w:val="32"/>
          <w:szCs w:val="32"/>
          <w:color w:val="2E74B5"/>
        </w:rPr>
        <w:t xml:space="preserve">Executive finding</w:t>
      </w:r>
    </w:p>
    <w:p>
      <w:pPr>
        <w:spacing w:before="0" w:after="160" w:line="264" w:lineRule="auto"/>
        <w:shd w:val="clear" w:fill="F4F6F9"/>
      </w:pPr>
      <w:r>
        <w:rPr>
          <w:rFonts w:ascii="Calibri" w:hAnsi="Calibri"/>
          <w:sz w:val="22"/>
          <w:szCs w:val="22"/>
          <w:color w:val="172B4D"/>
        </w:rPr>
        <w:t xml:space="preserve">The shared candidate workspace contains observable source-level implementation for all seven approved stories, with tests explicitly labelled STORY-1 through STORY-7. This supports implementation review. It does not prove a historical generated-file list: ADX retained only candidate digest artifacts, and the shared workspace changed after the final successful run.</w:t>
      </w:r>
    </w:p>
    <w:p>
      <w:pPr>
        <w:pStyle w:val="Heading1"/>
        <w:spacing w:before="120" w:after="80" w:line="264" w:lineRule="auto"/>
      </w:pPr>
      <w:r>
        <w:rPr>
          <w:rFonts w:ascii="Calibri" w:hAnsi="Calibri"/>
          <w:b/>
          <w:sz w:val="32"/>
          <w:szCs w:val="32"/>
          <w:color w:val="2E74B5"/>
        </w:rPr>
        <w:t xml:space="preserve">Story-by-story accounting</w:t>
      </w:r>
    </w:p>
    <w:p>
      <w:pPr>
        <w:spacing w:before="0" w:after="80" w:line="264" w:lineRule="auto"/>
      </w:pPr>
      <w:r>
        <w:rPr>
          <w:rFonts w:ascii="Calibri" w:hAnsi="Calibri"/>
          <w:i/>
          <w:sz w:val="19"/>
          <w:szCs w:val="19"/>
          <w:color w:val="526777"/>
        </w:rPr>
        <w:t xml:space="preserve">The following maps each approved story to the current observable candidate paths. Source build outputs, caches, and dependency directories are intentionally excluded.</w:t>
      </w:r>
    </w:p>
    <w:tbl>
      <w:tblPr>
        <w:tblW w:w="9360" w:type="dxa"/>
        <w:tblInd w:w="120" w:type="dxa"/>
        <w:tblLayout w:type="fixed"/>
        <w:tblBorders>
          <w:top w:val="single" w:sz="4" w:color="B7C6D9"/>
          <w:left w:val="single" w:sz="4" w:color="B7C6D9"/>
          <w:bottom w:val="single" w:sz="4" w:color="B7C6D9"/>
          <w:right w:val="single" w:sz="4" w:color="B7C6D9"/>
          <w:insideH w:val="single" w:sz="4" w:color="D9E2EF"/>
          <w:insideV w:val="single" w:sz="4" w:color="D9E2EF"/>
        </w:tblBorders>
      </w:tblPr>
      <w:tblGrid>
        <w:gridCol w:w="1180"/>
        <w:gridCol w:w="2800"/>
        <w:gridCol w:w="5380"/>
      </w:tblGrid>
      <w:tr>
        <w:tc>
          <w:tcPr>
            <w:tcW w:w="1180" w:type="dxa"/>
            <w:shd w:val="clear"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19"/>
                <w:szCs w:val="19"/>
                <w:color w:val="172B4D"/>
              </w:rPr>
              <w:t xml:space="preserve">Story</w:t>
            </w:r>
          </w:p>
        </w:tc>
        <w:tc>
          <w:tcPr>
            <w:tcW w:w="2800" w:type="dxa"/>
            <w:shd w:val="clear"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19"/>
                <w:szCs w:val="19"/>
                <w:color w:val="172B4D"/>
              </w:rPr>
              <w:t xml:space="preserve">Approved outcome</w:t>
            </w:r>
          </w:p>
        </w:tc>
        <w:tc>
          <w:tcPr>
            <w:tcW w:w="5380" w:type="dxa"/>
            <w:shd w:val="clear"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19"/>
                <w:szCs w:val="19"/>
                <w:color w:val="172B4D"/>
              </w:rPr>
              <w:t xml:space="preserve">Observable implementation files and coverage</w:t>
            </w:r>
          </w:p>
        </w:tc>
      </w:tr>
      <w:t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  <w:szCs w:val="19"/>
                <w:color w:val="172B4D"/>
              </w:rPr>
              <w:t xml:space="preserve">STORY-1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  <w:szCs w:val="19"/>
                <w:color w:val="172B4D"/>
              </w:rPr>
              <w:t xml:space="preserve">View tenant AIDE ID funding status</w:t>
            </w:r>
          </w:p>
        </w:tc>
        <w:tc>
          <w:tcPr>
            <w:tcW w:w="53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  <w:szCs w:val="19"/>
                <w:color w:val="172B4D"/>
              </w:rPr>
              <w:t xml:space="preserve">TenantOnboardingFundingStatus.jsx; TenantWorkflow.jsx; TenantOnboardingFundingStatus.test.jsx. UI test explicitly verifies funded tenant-level AIDE status.</w:t>
            </w:r>
          </w:p>
        </w:tc>
      </w:tr>
      <w:t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  <w:szCs w:val="19"/>
                <w:color w:val="172B4D"/>
              </w:rPr>
              <w:t xml:space="preserve">STORY-2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  <w:szCs w:val="19"/>
                <w:color w:val="172B4D"/>
              </w:rPr>
              <w:t xml:space="preserve">Validate funding from account data</w:t>
            </w:r>
          </w:p>
        </w:tc>
        <w:tc>
          <w:tcPr>
            <w:tcW w:w="53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  <w:szCs w:val="19"/>
                <w:color w:val="172B4D"/>
              </w:rPr>
              <w:t xml:space="preserve">tenant_account_data_service/handler.py; test_handler.py; TenantOnboardingFundingStatus.jsx and its UI test. Handler enriches extracted account data using Account Manager Financial API.</w:t>
            </w:r>
          </w:p>
        </w:tc>
      </w:tr>
      <w:t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  <w:szCs w:val="19"/>
                <w:color w:val="172B4D"/>
              </w:rPr>
              <w:t xml:space="preserve">STORY-3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  <w:szCs w:val="19"/>
                <w:color w:val="172B4D"/>
              </w:rPr>
              <w:t xml:space="preserve">Continue onboarding for unfunded AIDE IDs</w:t>
            </w:r>
          </w:p>
        </w:tc>
        <w:tc>
          <w:tcPr>
            <w:tcW w:w="53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  <w:szCs w:val="19"/>
                <w:color w:val="172B4D"/>
              </w:rPr>
              <w:t xml:space="preserve">TenantOnboardingFundingStatus.jsx and TenantOnboardingFundingStatus.test.jsx. Test explicitly verifies onboarding remains available when funding is unfunded.</w:t>
            </w:r>
          </w:p>
        </w:tc>
      </w:tr>
      <w:t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  <w:szCs w:val="19"/>
                <w:color w:val="172B4D"/>
              </w:rPr>
              <w:t xml:space="preserve">STORY-4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  <w:szCs w:val="19"/>
                <w:color w:val="172B4D"/>
              </w:rPr>
              <w:t xml:space="preserve">Block SBL and tooling for unfunded AIDE IDs</w:t>
            </w:r>
          </w:p>
        </w:tc>
        <w:tc>
          <w:tcPr>
            <w:tcW w:w="53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  <w:szCs w:val="19"/>
                <w:color w:val="172B4D"/>
              </w:rPr>
              <w:t xml:space="preserve">TenantOnboardingFundingStatus.jsx; TenantFundingDemo.jsx; tenant-funding-demo.css; UI test. Test explicitly verifies restricted SBL/tooling steps.</w:t>
            </w:r>
          </w:p>
        </w:tc>
      </w:tr>
      <w:t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  <w:szCs w:val="19"/>
                <w:color w:val="172B4D"/>
              </w:rPr>
              <w:t xml:space="preserve">STORY-5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  <w:szCs w:val="19"/>
                <w:color w:val="172B4D"/>
              </w:rPr>
              <w:t xml:space="preserve">Create follow-up actions for active unfunded tenants</w:t>
            </w:r>
          </w:p>
        </w:tc>
        <w:tc>
          <w:tcPr>
            <w:tcW w:w="53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  <w:szCs w:val="19"/>
                <w:color w:val="172B4D"/>
              </w:rPr>
              <w:t xml:space="preserve">tenant_action/account_field_log.py; tenant_action/handler.py; test_account_field_log.py. Creates the Funding / aide_id_funding action for an active unfunded tenant.</w:t>
            </w:r>
          </w:p>
        </w:tc>
      </w:tr>
      <w:t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  <w:szCs w:val="19"/>
                <w:color w:val="172B4D"/>
              </w:rPr>
              <w:t xml:space="preserve">STORY-6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  <w:szCs w:val="19"/>
                <w:color w:val="172B4D"/>
              </w:rPr>
              <w:t xml:space="preserve">Notify AE Operations of funding gaps</w:t>
            </w:r>
          </w:p>
        </w:tc>
        <w:tc>
          <w:tcPr>
            <w:tcW w:w="53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  <w:szCs w:val="19"/>
                <w:color w:val="172B4D"/>
              </w:rPr>
              <w:t xml:space="preserve">tenant_action/account_field_log.py; tenant_action/handler.py; test_account_field_log.py. Publishes an SNS notification; tests cover notification and retry behavior.</w:t>
            </w:r>
          </w:p>
        </w:tc>
      </w:tr>
      <w:t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  <w:szCs w:val="19"/>
                <w:color w:val="172B4D"/>
              </w:rPr>
              <w:t xml:space="preserve">STORY-7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  <w:szCs w:val="19"/>
                <w:color w:val="172B4D"/>
              </w:rPr>
              <w:t xml:space="preserve">Identify unfunded historical active accounts</w:t>
            </w:r>
          </w:p>
        </w:tc>
        <w:tc>
          <w:tcPr>
            <w:tcW w:w="53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9"/>
                <w:szCs w:val="19"/>
                <w:color w:val="172B4D"/>
              </w:rPr>
              <w:t xml:space="preserve">tenant_action/handler.py; account_field_log.py; test_account_field_log.py. Checks account-level AIDE IDs for onboarded active tenants without a tenant-level AIDE ID.</w:t>
            </w:r>
          </w:p>
        </w:tc>
      </w:tr>
    </w:tbl>
    <w:p>
      <w:pPr>
        <w:pStyle w:val="Heading1"/>
        <w:spacing w:before="120" w:after="80" w:line="264" w:lineRule="auto"/>
      </w:pPr>
      <w:r>
        <w:rPr>
          <w:rFonts w:ascii="Calibri" w:hAnsi="Calibri"/>
          <w:b/>
          <w:sz w:val="32"/>
          <w:szCs w:val="32"/>
          <w:color w:val="2E74B5"/>
        </w:rPr>
        <w:t xml:space="preserve">Observable generated / modified source paths</w:t>
      </w:r>
    </w:p>
    <w:p>
      <w:pPr>
        <w:spacing w:before="0" w:after="120" w:line="264" w:lineRule="auto"/>
      </w:pPr>
      <w:r>
        <w:rPr>
          <w:rFonts w:ascii="Calibri" w:hAnsi="Calibri"/>
          <w:sz w:val="22"/>
          <w:szCs w:val="22"/>
          <w:color w:val="172B4D"/>
        </w:rPr>
        <w:t xml:space="preserve">Backend (5): backend/inventory/lambda/tenant_account_data_service/handler.py; backend/inventory/lambda/tenant_account_data_service/test_handler.py; backend/inventory/lambda/tenant_action/account_field_log.py; backend/inventory/lambda/tenant_action/handler.py; backend/inventory/lambda/tenant_action/test_account_field_log.py.</w:t>
      </w:r>
    </w:p>
    <w:p>
      <w:pPr>
        <w:spacing w:before="0" w:after="120" w:line="264" w:lineRule="auto"/>
      </w:pPr>
      <w:r>
        <w:rPr>
          <w:rFonts w:ascii="Calibri" w:hAnsi="Calibri"/>
          <w:sz w:val="22"/>
          <w:szCs w:val="22"/>
          <w:color w:val="172B4D"/>
        </w:rPr>
        <w:t xml:space="preserve">Frontend (7): frontend/src/index.jsx; frontend/src/pages/TenantWorkflow.jsx; frontend/src/pages/TenantOnboardingFundingStatus.jsx; frontend/src/pages/TenantFundingDemo.jsx; frontend/src/pages/tenant-funding-demo.css; frontend/src/pages/__tests__/TenantOnboardingFundingStatus.test.jsx; frontend/vite.config.js.</w:t>
      </w:r>
    </w:p>
    <w:p>
      <w:pPr>
        <w:pStyle w:val="Heading1"/>
        <w:spacing w:before="120" w:after="80" w:line="264" w:lineRule="auto"/>
      </w:pPr>
      <w:r>
        <w:rPr>
          <w:rFonts w:ascii="Calibri" w:hAnsi="Calibri"/>
          <w:b/>
          <w:sz w:val="32"/>
          <w:szCs w:val="32"/>
          <w:color w:val="2E74B5"/>
        </w:rPr>
        <w:t xml:space="preserve">Execution history</w:t>
      </w:r>
    </w:p>
    <w:p>
      <w:pPr>
        <w:spacing w:before="0" w:after="120" w:line="264" w:lineRule="auto"/>
      </w:pPr>
      <w:r>
        <w:rPr>
          <w:rFonts w:ascii="Calibri" w:hAnsi="Calibri"/>
          <w:sz w:val="22"/>
          <w:szCs w:val="22"/>
          <w:color w:val="172B4D"/>
        </w:rPr>
        <w:t xml:space="preserve">35 agent runs are retained: 3 completed, 1 cancelled, and 31 failed. The completed runs produced these candidate digests: 0deb880944acfa864c46423238408d25095fba4c2c4193ae03528f23bfd34810; ab9a459f5eec9234b5a191f0f67adf21947842fb7a6499b598187ad4f336add6; and b84b096ebd4c8653368fa47f63bea665f5ed8340340afa66823329ac66ebd726.</w:t>
      </w:r>
    </w:p>
    <w:p>
      <w:pPr>
        <w:spacing w:before="0" w:after="140" w:line="264" w:lineRule="auto"/>
        <w:shd w:val="clear" w:fill="FFF4D6"/>
      </w:pPr>
      <w:r>
        <w:rPr>
          <w:rFonts w:ascii="Calibri" w:hAnsi="Calibri"/>
          <w:sz w:val="22"/>
          <w:szCs w:val="22"/>
          <w:color w:val="172B4D"/>
        </w:rPr>
        <w:t xml:space="preserve">Failure pattern: 17 MODEL_PATCH_RESPONSE_INVALID, 8 MODEL_PATCH_VALIDATION_FAILED, 3 AZURE_OPENAI_GATEWAY_REQUEST_FAILED, and one each of lease expiry, anchor invalid, and verifier-context-exceeded. Failed and cancelled runs retained no candidate artifact.</w:t>
      </w:r>
    </w:p>
    <w:p>
      <w:pPr>
        <w:pStyle w:val="Heading1"/>
        <w:spacing w:before="120" w:after="80" w:line="264" w:lineRule="auto"/>
      </w:pPr>
      <w:r>
        <w:rPr>
          <w:rFonts w:ascii="Calibri" w:hAnsi="Calibri"/>
          <w:b/>
          <w:sz w:val="32"/>
          <w:szCs w:val="32"/>
          <w:color w:val="2E74B5"/>
        </w:rPr>
        <w:t xml:space="preserve">Evidence integrity assessment</w:t>
      </w:r>
    </w:p>
    <w:p>
      <w:pPr>
        <w:spacing w:before="0" w:after="120" w:line="264" w:lineRule="auto"/>
      </w:pPr>
      <w:r>
        <w:rPr>
          <w:rFonts w:ascii="Calibri" w:hAnsi="Calibri"/>
          <w:sz w:val="22"/>
          <w:szCs w:val="22"/>
          <w:color w:val="172B4D"/>
        </w:rPr>
        <w:t xml:space="preserve">Two evidence bundles passed, each from adx-local-independent-suite 1.0.0. Their candidate digests are 1c12cee0c5b52a5c680648354c181813f40840c2372574973cb1bdbffb3f435d and 100aae7078ed7ce7788e549a7370baf0cde27c7d327c1a74c1b6238cac0991d3. Neither equals any of the three completed-run digests.</w:t>
      </w:r>
    </w:p>
    <w:p>
      <w:pPr>
        <w:spacing w:before="0" w:after="140" w:line="264" w:lineRule="auto"/>
        <w:shd w:val="clear" w:fill="FFE5E5"/>
      </w:pPr>
      <w:r>
        <w:rPr>
          <w:rFonts w:ascii="Calibri" w:hAnsi="Calibri"/>
          <w:sz w:val="22"/>
          <w:szCs w:val="22"/>
          <w:color w:val="172B4D"/>
        </w:rPr>
        <w:t xml:space="preserve">This is a binding failure: the retained PASS bundles cannot verify any retained completed candidate. The verifier performed basic file safety and ordering checks only (package/candidate marker, directory, no .env or .npmrc, no symlinks, sorted file list); it did not execute the UI or Python story tests.</w:t>
      </w:r>
    </w:p>
    <w:p>
      <w:pPr>
        <w:pStyle w:val="Heading1"/>
        <w:spacing w:before="120" w:after="80" w:line="264" w:lineRule="auto"/>
      </w:pPr>
      <w:r>
        <w:rPr>
          <w:rFonts w:ascii="Calibri" w:hAnsi="Calibri"/>
          <w:b/>
          <w:sz w:val="32"/>
          <w:szCs w:val="32"/>
          <w:color w:val="2E74B5"/>
        </w:rPr>
        <w:t xml:space="preserve">Workspace-drift assessment</w:t>
      </w:r>
    </w:p>
    <w:p>
      <w:pPr>
        <w:spacing w:before="0" w:after="120" w:line="264" w:lineRule="auto"/>
      </w:pPr>
      <w:r>
        <w:rPr>
          <w:rFonts w:ascii="Calibri" w:hAnsi="Calibri"/>
          <w:sz w:val="22"/>
          <w:szCs w:val="22"/>
          <w:color w:val="172B4D"/>
        </w:rPr>
        <w:t xml:space="preserve">The observable candidate paths carry modification times around 09:05–09:42 EDT on Sep 11, while the final successful run completed at 05:48 EDT. Since the candidate directory is shared and mutable, the present source tree is not an immutable snapshot of the promoted candidates.</w:t>
      </w:r>
    </w:p>
    <w:p>
      <w:pPr>
        <w:pStyle w:val="Heading1"/>
        <w:spacing w:before="120" w:after="80" w:line="264" w:lineRule="auto"/>
      </w:pPr>
      <w:r>
        <w:rPr>
          <w:rFonts w:ascii="Calibri" w:hAnsi="Calibri"/>
          <w:b/>
          <w:sz w:val="32"/>
          <w:szCs w:val="32"/>
          <w:color w:val="2E74B5"/>
        </w:rPr>
        <w:t xml:space="preserve">Release recommendation</w:t>
      </w:r>
    </w:p>
    <w:p>
      <w:pPr>
        <w:spacing w:before="0" w:after="130" w:line="264" w:lineRule="auto"/>
        <w:shd w:val="clear" w:fill="F4F6F9"/>
      </w:pPr>
      <w:r>
        <w:rPr>
          <w:rFonts w:ascii="Calibri" w:hAnsi="Calibri"/>
          <w:sz w:val="22"/>
          <w:szCs w:val="22"/>
          <w:color w:val="172B4D"/>
        </w:rPr>
        <w:t xml:space="preserve">Do not treat the current evidence PASS records as release authorization. Archive an immutable candidate tree plus path-level patch manifest for the intended candidate digest, run the STORY-1–7 UI/Python tests, and run the independent verifier against that same immutable candidate before a verification decision.</w:t>
      </w:r>
    </w:p>
    <w:p>
      <w:pPr>
        <w:pStyle w:val="Heading1"/>
        <w:spacing w:before="120" w:after="80" w:line="264" w:lineRule="auto"/>
      </w:pPr>
      <w:r>
        <w:rPr>
          <w:rFonts w:ascii="Calibri" w:hAnsi="Calibri"/>
          <w:b/>
          <w:sz w:val="32"/>
          <w:szCs w:val="32"/>
          <w:color w:val="2E74B5"/>
        </w:rPr>
        <w:t xml:space="preserve">Source basis</w:t>
      </w:r>
    </w:p>
    <w:p>
      <w:pPr>
        <w:spacing w:before="0" w:after="0" w:line="264" w:lineRule="auto"/>
      </w:pPr>
      <w:r>
        <w:rPr>
          <w:rFonts w:ascii="Calibri" w:hAnsi="Calibri"/>
          <w:sz w:val="19"/>
          <w:szCs w:val="19"/>
          <w:color w:val="526777"/>
        </w:rPr>
        <w:t xml:space="preserve">Prepared from the local ADX Postgres change-case ledger, all agent-run terminal events, both evidence bundles, and a read-only source-versus-candidate comparison. Review performed Sep 11, 2026.</w:t>
      </w:r>
    </w:p>
    <w:sectPr>
      <w:pgSz w:w="12240" w:h="15840"/>
      <w:pgMar w:top="1440" w:right="1440" w:bottom="1440" w:left="1440" w:header="709" w:footer="70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343390">
    <w:abstractNumId w:val="8"/>
  </w:num>
  <w:num w:numId="2" w16cid:durableId="225575434">
    <w:abstractNumId w:val="6"/>
  </w:num>
  <w:num w:numId="3" w16cid:durableId="43606876">
    <w:abstractNumId w:val="5"/>
  </w:num>
  <w:num w:numId="4" w16cid:durableId="169218352">
    <w:abstractNumId w:val="4"/>
  </w:num>
  <w:num w:numId="5" w16cid:durableId="162356010">
    <w:abstractNumId w:val="7"/>
  </w:num>
  <w:num w:numId="6" w16cid:durableId="2031712889">
    <w:abstractNumId w:val="3"/>
  </w:num>
  <w:num w:numId="7" w16cid:durableId="182012407">
    <w:abstractNumId w:val="2"/>
  </w:num>
  <w:num w:numId="8" w16cid:durableId="381174189">
    <w:abstractNumId w:val="1"/>
  </w:num>
  <w:num w:numId="9" w16cid:durableId="3635577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E94"/>
    <w:rsid w:val="0029639D"/>
    <w:rsid w:val="00326F90"/>
    <w:rsid w:val="003C3F83"/>
    <w:rsid w:val="003D705E"/>
    <w:rsid w:val="00AA1D8D"/>
    <w:rsid w:val="00B47730"/>
    <w:rsid w:val="00CB0664"/>
    <w:rsid w:val="00ED0A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9671B5"/>
  <w14:defaultImageDpi w14:val="300"/>
  <w15:docId w15:val="{A1696073-710F-2945-9CD1-1871D23BE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1128</Words>
  <Characters>6435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Patidar, Pawan</cp:lastModifiedBy>
  <cp:revision>2</cp:revision>
  <dcterms:created xsi:type="dcterms:W3CDTF">2026-08-06T06:46:00Z</dcterms:created>
  <dcterms:modified xsi:type="dcterms:W3CDTF">2026-08-06T06:46:00Z</dcterms:modified>
  <cp:category/>
</cp:coreProperties>
</file>