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Report: Binding Layer Abstraction</w:t>
      </w:r>
    </w:p>
    <w:p>
      <w:pPr>
        <w:pStyle w:val="Heading1"/>
      </w:pPr>
      <w:r>
        <w:t>II. Technical Deep Dive: The Binding Layer</w:t>
      </w:r>
    </w:p>
    <w:p>
      <w:r>
        <w:t>The Binding Layer was designed as an abstraction bridge between the raw business logic and external services (Supabase, OpenAI, Redis). It ensures that the Gateway Server remains lightweight and backend-agnostic.</w:t>
      </w:r>
    </w:p>
    <w:p>
      <w:pPr>
        <w:pStyle w:val="Heading2"/>
      </w:pPr>
      <w:r>
        <w:t>Architecture Components:</w:t>
      </w:r>
    </w:p>
    <w:p>
      <w:pPr>
        <w:pStyle w:val="ListBullet"/>
      </w:pPr>
      <w:r>
        <w:t>Supabase Proxy: A dynamic proxy class that routes database requests to the specific project database (TalentOps or Cohort) based on the current context.</w:t>
      </w:r>
    </w:p>
    <w:p>
      <w:pPr>
        <w:pStyle w:val="ListBullet"/>
      </w:pPr>
      <w:r>
        <w:t>Standardized Models: Used Pydantic for rigid request/response validation (OrchestratorRequest, SLMQueryResponse).</w:t>
      </w:r>
    </w:p>
    <w:p>
      <w:pPr>
        <w:pStyle w:val="ListBullet"/>
      </w:pPr>
      <w:r>
        <w:t>Embedding Utilities: Built-in hooks for asynchronous embedding generation using text-embedding-3-small.</w:t>
      </w:r>
    </w:p>
    <w:p>
      <w:pPr>
        <w:pStyle w:val="ListBullet"/>
      </w:pPr>
      <w:r>
        <w:t>Database Utilities: Simplified CRUD operations specifically for chat history and semantic profiling.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