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Binding Layer &amp; Infrastructure Extraction: Architectural Record</w:t>
      </w:r>
    </w:p>
    <w:p>
      <w:pPr>
        <w:pStyle w:val="Heading2"/>
      </w:pPr>
      <w:r>
        <w:t>1. The Architectural Shift: From Monolith to Binding</w:t>
      </w:r>
    </w:p>
    <w:p>
      <w:r>
        <w:t xml:space="preserve">In modern AI-driven applications, infrastructure complexity often scales faster than business logic. The TalentOps Model Gateway originally followed a monolithic pattern where database initialization, Pydantic models, and utility functions were tightly coupled with HTTP routes. To ensure long-term maintainability and scalability, we introduced the </w:t>
      </w:r>
      <w:r>
        <w:rPr>
          <w:b/>
        </w:rPr>
        <w:t>Binding Layer</w:t>
      </w:r>
      <w:r>
        <w:t>.</w:t>
      </w:r>
    </w:p>
    <w:p>
      <w:r>
        <w:t>The Binding Layer is a dedicated Python package (</w:t>
      </w:r>
      <w:r>
        <w:rPr>
          <w:rFonts w:ascii="Courier New" w:hAnsi="Courier New"/>
          <w:sz w:val="20"/>
        </w:rPr>
        <w:t>binding/</w:t>
      </w:r>
      <w:r>
        <w:t>) that serves as the coordination spine of the application. It acts as a buffer between the "Domain Logic" (how the AI behaves) and "Infrastructure" (how we talk to APIs and Databases).</w:t>
      </w:r>
    </w:p>
    <w:p>
      <w:r>
        <w:t>________________________________________________________________________________</w:t>
      </w:r>
    </w:p>
    <w:p>
      <w:pPr>
        <w:pStyle w:val="Heading2"/>
      </w:pPr>
      <w:r>
        <w:t>2. The "Passive Library" Philosophy</w:t>
      </w:r>
    </w:p>
    <w:p>
      <w:r>
        <w:t xml:space="preserve">A core tenet of our implementation is that the Binding Layer must be </w:t>
      </w:r>
      <w:r>
        <w:rPr>
          <w:b/>
        </w:rPr>
        <w:t>Passive</w:t>
      </w:r>
      <w:r>
        <w:t xml:space="preserve">. </w:t>
      </w:r>
    </w:p>
    <w:p>
      <w:pPr>
        <w:pStyle w:val="Heading3"/>
      </w:pPr>
      <w:r>
        <w:t>2.1 What is a Passive Library?</w:t>
      </w:r>
    </w:p>
    <w:p>
      <w:pPr>
        <w:pStyle w:val="ListBullet"/>
      </w:pPr>
      <w:r>
        <w:t>It does not self-initialize on import.</w:t>
      </w:r>
    </w:p>
    <w:p>
      <w:pPr>
        <w:pStyle w:val="ListBullet"/>
      </w:pPr>
      <w:r>
        <w:t>It does not read environment variables (`.env`) directly.</w:t>
      </w:r>
    </w:p>
    <w:p>
      <w:pPr>
        <w:pStyle w:val="ListBullet"/>
      </w:pPr>
      <w:r>
        <w:t>It does not establish network connections (Supabase/OpenAI) on its own.</w:t>
      </w:r>
    </w:p>
    <w:p>
      <w:pPr>
        <w:pStyle w:val="Heading3"/>
      </w:pPr>
      <w:r>
        <w:t>2.2 Why this is Critical</w:t>
      </w:r>
    </w:p>
    <w:p>
      <w:r>
        <w:t xml:space="preserve">A passive design prevents "Import-Time Side Effects." In large Python projects, circular imports and race conditions often occur when libraries try to "boot up" as soon as they are referenced. By making the Binding Layer passive, we give the </w:t>
      </w:r>
      <w:r>
        <w:rPr>
          <w:b/>
        </w:rPr>
        <w:t>Host Application</w:t>
      </w:r>
      <w:r>
        <w:t xml:space="preserve"> (</w:t>
      </w:r>
      <w:r>
        <w:rPr>
          <w:rFonts w:ascii="Courier New" w:hAnsi="Courier New"/>
          <w:sz w:val="20"/>
        </w:rPr>
        <w:t>unified_server.py</w:t>
      </w:r>
      <w:r>
        <w:t>) complete control over the startup lifecycle.</w:t>
      </w:r>
    </w:p>
    <w:p>
      <w:r>
        <w:t>Example of explicit initialization:</w:t>
      </w:r>
    </w:p>
    <w:p>
      <w:pPr/>
      <w:r>
        <w:rPr>
          <w:rFonts w:ascii="Courier New" w:hAnsi="Courier New"/>
          <w:sz w:val="18"/>
          <w:shd w:fill="F5F5F5"/>
        </w:rPr>
        <w:t># In unified_server.py</w:t>
        <w:br/>
        <w:t>init_db(TALENTOPS_URL, TALENTOPS_KEY, COHORT_URL, COHORT_KEY)</w:t>
        <w:br/>
        <w:t>init_rag(openai_client)</w:t>
      </w:r>
    </w:p>
    <w:p>
      <w:r>
        <w:t>________________________________________________________________________________</w:t>
      </w:r>
    </w:p>
    <w:p>
      <w:pPr>
        <w:pStyle w:val="Heading2"/>
      </w:pPr>
      <w:r>
        <w:t>3. Detailed Component Breakdown</w:t>
      </w:r>
    </w:p>
    <w:p>
      <w:pPr>
        <w:pStyle w:val="Heading3"/>
      </w:pPr>
      <w:r>
        <w:t>3.1 `binding/database.py`: The Routing Spine</w:t>
      </w:r>
    </w:p>
    <w:p>
      <w:r>
        <w:t xml:space="preserve">This module manages the connection lifecycle. We use a </w:t>
      </w:r>
      <w:r>
        <w:rPr>
          <w:b/>
        </w:rPr>
        <w:t>Proxy Design Pattern</w:t>
      </w:r>
      <w:r>
        <w:t xml:space="preserve"> to ensure that requests are always routed to the correct tenant.</w:t>
      </w:r>
    </w:p>
    <w:p>
      <w:r/>
      <w:r>
        <w:rPr>
          <w:b/>
        </w:rPr>
        <w:t>The SimpleSupabaseClient:</w:t>
      </w:r>
      <w:r/>
    </w:p>
    <w:p>
      <w:r>
        <w:t xml:space="preserve">A custom wrapper around the </w:t>
      </w:r>
      <w:r>
        <w:rPr>
          <w:rFonts w:ascii="Courier New" w:hAnsi="Courier New"/>
          <w:sz w:val="20"/>
        </w:rPr>
        <w:t>requests</w:t>
      </w:r>
      <w:r>
        <w:t xml:space="preserve"> library to handle Supabase REST API calls synchronously (where required) or asynchronously.</w:t>
      </w:r>
    </w:p>
    <w:p>
      <w:pPr/>
      <w:r>
        <w:rPr>
          <w:rFonts w:ascii="Courier New" w:hAnsi="Courier New"/>
          <w:sz w:val="18"/>
          <w:shd w:fill="F5F5F5"/>
        </w:rPr>
        <w:t>class SimpleSupabaseClient:</w:t>
        <w:br/>
        <w:t xml:space="preserve">    def __init__(self, url, key):</w:t>
        <w:br/>
        <w:t xml:space="preserve">        self.url = url</w:t>
        <w:br/>
        <w:t xml:space="preserve">        self.key = key</w:t>
        <w:br/>
        <w:t xml:space="preserve">        self.headers = {</w:t>
        <w:br/>
        <w:t xml:space="preserve">            "apikey": key,</w:t>
        <w:br/>
        <w:t xml:space="preserve">            "Authorization": f"Bearer {key}",</w:t>
        <w:br/>
        <w:t xml:space="preserve">            "Content-Type": "application/json"</w:t>
        <w:br/>
        <w:t xml:space="preserve">        }</w:t>
        <w:br/>
        <w:br/>
        <w:t xml:space="preserve">    def table(self, table_name):</w:t>
        <w:br/>
        <w:t xml:space="preserve">        return SimpleSupabaseQuery(self.url, self.headers, table_name)</w:t>
      </w:r>
    </w:p>
    <w:p>
      <w:r/>
      <w:r>
        <w:rPr>
          <w:b/>
        </w:rPr>
        <w:t>The SupabaseProxy (Context-Aware):</w:t>
      </w:r>
      <w:r/>
    </w:p>
    <w:p>
      <w:r>
        <w:t xml:space="preserve">This is the "magic" that allows </w:t>
      </w:r>
      <w:r>
        <w:rPr>
          <w:rFonts w:ascii="Courier New" w:hAnsi="Courier New"/>
          <w:sz w:val="20"/>
        </w:rPr>
        <w:t>unified_server.py</w:t>
      </w:r>
      <w:r>
        <w:t xml:space="preserve"> to simply call </w:t>
      </w:r>
      <w:r>
        <w:rPr>
          <w:rFonts w:ascii="Courier New" w:hAnsi="Courier New"/>
          <w:sz w:val="20"/>
        </w:rPr>
        <w:t>supabase.table(...)</w:t>
      </w:r>
      <w:r>
        <w:t xml:space="preserve"> without knowing which tenant is active.</w:t>
      </w:r>
    </w:p>
    <w:p>
      <w:pPr/>
      <w:r>
        <w:rPr>
          <w:rFonts w:ascii="Courier New" w:hAnsi="Courier New"/>
          <w:sz w:val="18"/>
          <w:shd w:fill="F5F5F5"/>
        </w:rPr>
        <w:t>class SupabaseProxy:</w:t>
        <w:br/>
        <w:t xml:space="preserve">    def __getattr__(self, name):</w:t>
        <w:br/>
        <w:t xml:space="preserve">        client = current_supabase_client.get()</w:t>
        <w:br/>
        <w:t xml:space="preserve">        if client is None:</w:t>
        <w:br/>
        <w:t xml:space="preserve">            raise RuntimeError("Supabase client is not initialized for this context. call init_db() and select_client() first.")</w:t>
        <w:br/>
        <w:t xml:space="preserve">        return getattr(client, name)</w:t>
        <w:br/>
        <w:br/>
        <w:t>supabase = SupabaseProxy()</w:t>
      </w:r>
    </w:p>
    <w:p>
      <w:pPr>
        <w:pStyle w:val="Heading3"/>
      </w:pPr>
      <w:r>
        <w:t>3.2 `binding/models.py`: Unified API Contracts</w:t>
      </w:r>
    </w:p>
    <w:p>
      <w:r>
        <w:t>We use Pydantic V2 to enforce structure. This creates a "Compile-time" check for the API.</w:t>
      </w:r>
    </w:p>
    <w:p>
      <w:r/>
      <w:r>
        <w:rPr>
          <w:b/>
        </w:rPr>
        <w:t>Example Request Model:</w:t>
      </w:r>
      <w:r/>
    </w:p>
    <w:p>
      <w:pPr/>
      <w:r>
        <w:rPr>
          <w:rFonts w:ascii="Courier New" w:hAnsi="Courier New"/>
          <w:sz w:val="18"/>
          <w:shd w:fill="F5F5F5"/>
        </w:rPr>
        <w:t>class SLMQueryRequest(BaseModel):</w:t>
        <w:br/>
        <w:t xml:space="preserve">    query: str</w:t>
        <w:br/>
        <w:t xml:space="preserve">    user_id: str</w:t>
        <w:br/>
        <w:t xml:space="preserve">    org_id: str</w:t>
        <w:br/>
        <w:t xml:space="preserve">    project_id: Optional[str] = None</w:t>
        <w:br/>
        <w:t xml:space="preserve">    user_role: Optional[str] = "employee"</w:t>
        <w:br/>
        <w:t xml:space="preserve">    app_name: Optional[str] = "talentops"</w:t>
        <w:br/>
        <w:t xml:space="preserve">    context: Optional[dict] = None</w:t>
      </w:r>
    </w:p>
    <w:p>
      <w:pPr>
        <w:pStyle w:val="Heading3"/>
      </w:pPr>
      <w:r>
        <w:t>3.3 `binding/utils.py`: Infrastructure Helpers</w:t>
      </w:r>
    </w:p>
    <w:p>
      <w:r>
        <w:t xml:space="preserve">Includes the </w:t>
      </w:r>
      <w:r>
        <w:rPr>
          <w:rFonts w:ascii="Courier New" w:hAnsi="Courier New"/>
          <w:sz w:val="20"/>
        </w:rPr>
        <w:t>init_rag</w:t>
      </w:r>
      <w:r>
        <w:t xml:space="preserve"> function which injects the AI client into the binding layer, keeping the layer itself free of configuration logic.</w:t>
      </w:r>
    </w:p>
    <w:p>
      <w:r>
        <w:t>________________________________________________________________________________</w:t>
      </w:r>
    </w:p>
    <w:p>
      <w:pPr>
        <w:pStyle w:val="Heading2"/>
      </w:pPr>
      <w:r>
        <w:t>4. Multi-Tenant Routing via ContextVars</w:t>
      </w:r>
    </w:p>
    <w:p>
      <w:r>
        <w:t xml:space="preserve">Standard global variables are not safe in asynchronous web servers because multiple requests run concurrently on the same process. To solve this for </w:t>
      </w:r>
      <w:r>
        <w:rPr>
          <w:b/>
        </w:rPr>
        <w:t>TalentOps</w:t>
      </w:r>
      <w:r>
        <w:t xml:space="preserve"> and </w:t>
      </w:r>
      <w:r>
        <w:rPr>
          <w:b/>
        </w:rPr>
        <w:t>Cohort</w:t>
      </w:r>
      <w:r>
        <w:t xml:space="preserve">, we utilized Python's </w:t>
      </w:r>
      <w:r>
        <w:rPr>
          <w:rFonts w:ascii="Courier New" w:hAnsi="Courier New"/>
          <w:sz w:val="20"/>
        </w:rPr>
        <w:t>contextvars</w:t>
      </w:r>
      <w:r>
        <w:t xml:space="preserve"> module.</w:t>
      </w:r>
    </w:p>
    <w:p>
      <w:pPr>
        <w:pStyle w:val="Heading3"/>
      </w:pPr>
      <w:r>
        <w:t>4.1 The Isolation Flow</w:t>
      </w:r>
    </w:p>
    <w:p>
      <w:pPr>
        <w:pStyle w:val="ListNumber"/>
      </w:pPr>
      <w:r>
        <w:t>**Request Ingress**: A query arrives for the "Cohort" tenant.</w:t>
      </w:r>
    </w:p>
    <w:p>
      <w:pPr>
        <w:pStyle w:val="ListNumber"/>
      </w:pPr>
      <w:r>
        <w:t>**Context Setup**: The server calls `select_client("cohort")`.</w:t>
      </w:r>
    </w:p>
    <w:p>
      <w:pPr>
        <w:pStyle w:val="ListNumber"/>
      </w:pPr>
      <w:r>
        <w:t>**Variable Pinning**: `current_supabase_client.set(cohort_supabase)` is executed. This value only exists for the duration of *that specific* async task.</w:t>
      </w:r>
    </w:p>
    <w:p>
      <w:pPr>
        <w:pStyle w:val="ListNumber"/>
      </w:pPr>
      <w:r>
        <w:t>**Transparent Usage**: Any code anywhere in the system calls `supabase.table("users")`. The proxy automatically reaches into the `ContextVar` and finds the Cohort client.</w:t>
      </w:r>
    </w:p>
    <w:p>
      <w:pPr>
        <w:pStyle w:val="ListNumber"/>
      </w:pPr>
      <w:r>
        <w:t>**Request Egress**: The task finishes, and the context is automatically cleared.</w:t>
      </w:r>
    </w:p>
    <w:p>
      <w:r>
        <w:t>________________________________________________________________________________</w:t>
      </w:r>
    </w:p>
    <w:p>
      <w:pPr>
        <w:pStyle w:val="Heading2"/>
      </w:pPr>
      <w:r>
        <w:t>5. Benefits Realized Post-Extraction</w:t>
      </w:r>
    </w:p>
    <w:p>
      <w:pPr>
        <w:pStyle w:val="Heading3"/>
      </w:pPr>
      <w:r>
        <w:t>5.1 Testability</w:t>
      </w:r>
    </w:p>
    <w:p>
      <w:r>
        <w:t>We can now write unit tests for the RAG chunking logic or the Supabase Query Builder without loading the entire FastAPI application or the heavy LLM clients.</w:t>
      </w:r>
    </w:p>
    <w:p>
      <w:pPr>
        <w:pStyle w:val="Heading3"/>
      </w:pPr>
      <w:r>
        <w:t>5.2 Development Velocity</w:t>
      </w:r>
    </w:p>
    <w:p>
      <w:r>
        <w:t xml:space="preserve">Engineers working on the Chatbot's personality (Prompts/Logic) can focus on </w:t>
      </w:r>
      <w:r>
        <w:rPr>
          <w:rFonts w:ascii="Courier New" w:hAnsi="Courier New"/>
          <w:sz w:val="20"/>
        </w:rPr>
        <w:t>unified_server.py</w:t>
      </w:r>
      <w:r>
        <w:t xml:space="preserve"> and </w:t>
      </w:r>
      <w:r>
        <w:rPr>
          <w:rFonts w:ascii="Courier New" w:hAnsi="Courier New"/>
          <w:sz w:val="20"/>
        </w:rPr>
        <w:t>rbac_rules.py</w:t>
      </w:r>
      <w:r>
        <w:t xml:space="preserve"> without worrying about the underlying database transport mechanics.</w:t>
      </w:r>
    </w:p>
    <w:p>
      <w:pPr>
        <w:pStyle w:val="Heading3"/>
      </w:pPr>
      <w:r>
        <w:t>5.3 Multi-Tenant Scalability</w:t>
      </w:r>
    </w:p>
    <w:p>
      <w:r>
        <w:t>Adding a third tenant (e.g., "FutureClient") now takes minutes:</w:t>
      </w:r>
    </w:p>
    <w:p>
      <w:pPr>
        <w:pStyle w:val="ListNumber"/>
      </w:pPr>
      <w:r>
        <w:t>Add credentials to `.env`.</w:t>
      </w:r>
    </w:p>
    <w:p>
      <w:pPr>
        <w:pStyle w:val="ListNumber"/>
      </w:pPr>
      <w:r>
        <w:t>Update `init_db` in the server.</w:t>
      </w:r>
    </w:p>
    <w:p>
      <w:pPr>
        <w:pStyle w:val="ListNumber"/>
      </w:pPr>
      <w:r>
        <w:t>Add a single `if/else` check in `select_client`.</w:t>
      </w:r>
    </w:p>
    <w:p>
      <w:r>
        <w:t>________________________________________________________________________________</w:t>
      </w:r>
    </w:p>
    <w:p>
      <w:pPr>
        <w:pStyle w:val="Heading2"/>
      </w:pPr>
      <w:r>
        <w:t>6. Migration Log: From Start to Finish</w:t>
      </w:r>
    </w:p>
    <w:p>
      <w:pPr>
        <w:pStyle w:val="ListBullet"/>
      </w:pPr>
      <w:r>
        <w:t>**Initial State**: All logic in one 2,500-line file.</w:t>
      </w:r>
    </w:p>
    <w:p>
      <w:pPr>
        <w:pStyle w:val="ListBullet"/>
      </w:pPr>
      <w:r>
        <w:t>**Step 1**: Identification of "Infrastructure vs. Logic" boundaries.</w:t>
      </w:r>
    </w:p>
    <w:p>
      <w:pPr>
        <w:pStyle w:val="ListBullet"/>
      </w:pPr>
      <w:r>
        <w:t>**Step 2**: Creation of the `binding/` structure.</w:t>
      </w:r>
    </w:p>
    <w:p>
      <w:pPr>
        <w:pStyle w:val="ListBullet"/>
      </w:pPr>
      <w:r>
        <w:t>**Step 3**: Physical move of 12 classes and 8 utility functions.</w:t>
      </w:r>
    </w:p>
    <w:p>
      <w:pPr>
        <w:pStyle w:val="ListBullet"/>
      </w:pPr>
      <w:r>
        <w:t>**Step 4**: Refactoring `unified_server.py` to use `from binding import ...`.</w:t>
      </w:r>
    </w:p>
    <w:p>
      <w:pPr>
        <w:pStyle w:val="ListBullet"/>
      </w:pPr>
      <w:r>
        <w:t>**Step 5**: Comprehensive Regression Testing (Parity check).</w:t>
      </w:r>
    </w:p>
    <w:p>
      <w:r>
        <w:t>________________________________________________________________________________</w:t>
      </w:r>
    </w:p>
    <w:p>
      <w:pPr>
        <w:pStyle w:val="Heading2"/>
      </w:pPr>
      <w:r>
        <w:t>7. Conclusion</w:t>
      </w:r>
    </w:p>
    <w:p>
      <w:r>
        <w:t>The extraction of the Binding Layer has transformed the TalentOps Model Gateway from a brittle monolith into a professional-grade, multi-tenant capable engine. It provides the structural integrity required to support complex AI operations across diverse organizational contexts.</w:t>
      </w:r>
    </w:p>
    <w:p>
      <w:r>
        <w:t>________________________________________________________________________________</w:t>
      </w:r>
    </w:p>
    <w:p>
      <w:r/>
      <w:r>
        <w:rPr>
          <w:i/>
        </w:rPr>
        <w:t>End of Documentation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