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Analysis: Latency &amp; Caching Strategy</w:t>
      </w:r>
    </w:p>
    <w:p>
      <w:pPr>
        <w:pStyle w:val="Heading1"/>
      </w:pPr>
      <w:r>
        <w:t>III. TalentOps Latency &amp; Caching Strategy</w:t>
      </w:r>
    </w:p>
    <w:p>
      <w:r>
        <w:t>A major performance milestone was the reduction of baseline latency by over 80% through the implementation of a Hybrid Semantic Caching system.</w:t>
      </w:r>
    </w:p>
    <w:p>
      <w:pPr>
        <w:pStyle w:val="Heading2"/>
      </w:pPr>
      <w:r>
        <w:t>Optimizations Implemented:</w:t>
      </w:r>
    </w:p>
    <w:p>
      <w:pPr>
        <w:pStyle w:val="ListBullet"/>
      </w:pPr>
      <w:r>
        <w:t>Semantic Cache (Redis + Supabase): Implemented a "Meaning-based" cache where recurring policy questions return instant results (&lt;0.1s) without hitting the LLM.</w:t>
      </w:r>
    </w:p>
    <w:p>
      <w:pPr>
        <w:pStyle w:val="ListBullet"/>
      </w:pPr>
      <w:r>
        <w:t>Hybrid Bypass Logic: Developed the "Semantic Sentry" which detects dynamic keywords (task, clock, leave) to bypass the cache for 100% data freshness on live operations.</w:t>
      </w:r>
    </w:p>
    <w:p>
      <w:pPr>
        <w:pStyle w:val="ListBullet"/>
      </w:pPr>
      <w:r>
        <w:t>Parallel Execution: Rewrote core bottlenecks to use Python AsyncIO/Awaiting, allowing document search and intent parsing to run concurrently.</w:t>
      </w:r>
    </w:p>
    <w:p>
      <w:pPr>
        <w:pStyle w:val="ListBullet"/>
      </w:pPr>
      <w:r>
        <w:t>Structured Latency Logging: Added detailed TTFT (Time to First Token) and total latency tracking to audit_logs for continuous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