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AridHab-Q: An Integrated R Shiny Framework for Site-Specific Habitat Degradation Assessment in Arid and Semi-Arid Ecosystems</w:t>
      </w:r>
    </w:p>
    <w:p>
      <w:pPr>
        <w:jc w:val="center"/>
      </w:pPr>
      <w:r>
        <w:t>Dr. Manish Mathur | ICAR–Central Arid Zone Research Institute, Jodhpur, India</w:t>
        <w:br/>
        <w:t>eco5320@gmail.com | manish.mathur@icar.org.in</w:t>
        <w:br/>
        <w:t>Software and methodological manuscript | Release 2026.10</w:t>
      </w:r>
    </w:p>
    <w:p>
      <w:pPr>
        <w:pStyle w:val="Heading1"/>
      </w:pPr>
      <w:r>
        <w:t>Abstract</w:t>
      </w:r>
    </w:p>
    <w:p>
      <w:r>
        <w:t>AridHab-Q is an interactive R Shiny application for structured, site-level assessment of dryland vegetation condition and ecosystem functional integrity. The application presents 37 attributes in four domains: entire vegetation (7), herbaceous vegetation (10), woody perennials (8), and ecosystem functional integrity (12). The first 25 preserve the published Kumar (1992) vegetation-degradation scorecard as transcribed, including categories with fewer than five valid options; the final 12 are proposed functional assessment rubrics. Each attribute is accompanied by a distinct, colour-illustrated field plate displayed inside the application and supplied in Supplementary Material S1. Observers record rating, measured or visual evidence, and site metadata. A transparent transformation converts ordinal ratings (1, least degradation; 5, greatest degradation) into a normalized 0–100 degradation value. Four domain means are aggregated with equal weights only after all 37 ratings are completed. Site-specific records, bulk data management, graphics and downloadable outputs support field workflows. The author reports testing the application with various datasets, but detailed independent numerical validation records are not available for this manuscript; therefore software testing is distinguished from ecological validation. The approach is a proposed decision-support framework whose thresholds and repeatability require field evaluation.</w:t>
      </w:r>
    </w:p>
    <w:p>
      <w:r>
        <w:t>Keywords: arid ecosystems; habitat degradation; ecological integrity; rangeland health; vegetation condition; soil stability; field scorecard; R Shiny; reproducibility</w:t>
      </w:r>
    </w:p>
    <w:p>
      <w:pPr>
        <w:pStyle w:val="Heading1"/>
      </w:pPr>
      <w:r>
        <w:t>1. Introduction and rationale</w:t>
      </w:r>
    </w:p>
    <w:p>
      <w:r>
        <w:t>Dryland habitat condition is influenced by vegetation structure, soil protection, hydrologic processes, plant recruitment and climatic variability. Vegetation-only assessments may overlook soil-surface degradation, while generic pasture metrics may misclassify naturally sparse desert vegetation. AridHab-Q combines established vegetation-degradation ratings with explicitly proposed functional indicators to support site-referenced assessments. The USDA–NRCS Pasture Condition Score Sheet (2001) demonstrates structured five-category scoring, attention to causal factors and management prioritization. Pyke et al. (2002) present 17 qualitative indicators addressing soil/site stability, hydrologic function and biotic integrity relative to ecological-site potential. These sources inform interpretation and field documentation; AridHab-Q does not claim to reproduce their complete methods.</w:t>
      </w:r>
    </w:p>
    <w:p>
      <w:pPr>
        <w:pStyle w:val="Heading1"/>
      </w:pPr>
      <w:r>
        <w:t>2. Objectives and intended applications</w:t>
      </w:r>
    </w:p>
    <w:p>
      <w:r>
        <w:t>The software aims to standardize field observation, display all indicator rubrics alongside visual colour plates, record supporting evidence, calculate transparent domain-level and integrated degradation scores, retain site-wise records and facilitate exploratory multi-site comparison. It is intended for rapid site-condition assessment and preliminary restoration prioritization; a single observation cannot establish temporal trends or causation.</w:t>
      </w:r>
    </w:p>
    <w:p>
      <w:pPr>
        <w:pStyle w:val="Heading1"/>
      </w:pPr>
      <w:r>
        <w:t>3. Indicator organization and source fidelity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Component</w:t>
            </w:r>
          </w:p>
        </w:tc>
        <w:tc>
          <w:tcPr>
            <w:tcW w:type="dxa" w:w="2448"/>
          </w:tcPr>
          <w:p>
            <w:r>
              <w:t>IDs</w:t>
            </w:r>
          </w:p>
        </w:tc>
        <w:tc>
          <w:tcPr>
            <w:tcW w:type="dxa" w:w="2448"/>
          </w:tcPr>
          <w:p>
            <w:r>
              <w:t>Count</w:t>
            </w:r>
          </w:p>
        </w:tc>
        <w:tc>
          <w:tcPr>
            <w:tcW w:type="dxa" w:w="2448"/>
          </w:tcPr>
          <w:p>
            <w:r>
              <w:t>Origin</w:t>
            </w:r>
          </w:p>
        </w:tc>
      </w:tr>
      <w:tr>
        <w:tc>
          <w:tcPr>
            <w:tcW w:type="dxa" w:w="2448"/>
          </w:tcPr>
          <w:p>
            <w:r>
              <w:t>Entire vegetation</w:t>
            </w:r>
          </w:p>
        </w:tc>
        <w:tc>
          <w:tcPr>
            <w:tcW w:type="dxa" w:w="2448"/>
          </w:tcPr>
          <w:p>
            <w:r>
              <w:t>1–7</w:t>
            </w:r>
          </w:p>
        </w:tc>
        <w:tc>
          <w:tcPr>
            <w:tcW w:type="dxa" w:w="2448"/>
          </w:tcPr>
          <w:p>
            <w:r>
              <w:t>7</w:t>
            </w:r>
          </w:p>
        </w:tc>
        <w:tc>
          <w:tcPr>
            <w:tcW w:type="dxa" w:w="2448"/>
          </w:tcPr>
          <w:p>
            <w:r>
              <w:t>Kumar (1992) derived</w:t>
            </w:r>
          </w:p>
        </w:tc>
      </w:tr>
      <w:tr>
        <w:tc>
          <w:tcPr>
            <w:tcW w:type="dxa" w:w="2448"/>
          </w:tcPr>
          <w:p>
            <w:r>
              <w:t>Herbaceous vegetation</w:t>
            </w:r>
          </w:p>
        </w:tc>
        <w:tc>
          <w:tcPr>
            <w:tcW w:type="dxa" w:w="2448"/>
          </w:tcPr>
          <w:p>
            <w:r>
              <w:t>8–17</w:t>
            </w:r>
          </w:p>
        </w:tc>
        <w:tc>
          <w:tcPr>
            <w:tcW w:type="dxa" w:w="2448"/>
          </w:tcPr>
          <w:p>
            <w:r>
              <w:t>10</w:t>
            </w:r>
          </w:p>
        </w:tc>
        <w:tc>
          <w:tcPr>
            <w:tcW w:type="dxa" w:w="2448"/>
          </w:tcPr>
          <w:p>
            <w:r>
              <w:t>Kumar (1992) derived</w:t>
            </w:r>
          </w:p>
        </w:tc>
      </w:tr>
      <w:tr>
        <w:tc>
          <w:tcPr>
            <w:tcW w:type="dxa" w:w="2448"/>
          </w:tcPr>
          <w:p>
            <w:r>
              <w:t>Woody perennials</w:t>
            </w:r>
          </w:p>
        </w:tc>
        <w:tc>
          <w:tcPr>
            <w:tcW w:type="dxa" w:w="2448"/>
          </w:tcPr>
          <w:p>
            <w:r>
              <w:t>18–25</w:t>
            </w:r>
          </w:p>
        </w:tc>
        <w:tc>
          <w:tcPr>
            <w:tcW w:type="dxa" w:w="2448"/>
          </w:tcPr>
          <w:p>
            <w:r>
              <w:t>8</w:t>
            </w:r>
          </w:p>
        </w:tc>
        <w:tc>
          <w:tcPr>
            <w:tcW w:type="dxa" w:w="2448"/>
          </w:tcPr>
          <w:p>
            <w:r>
              <w:t>Kumar (1992) derived</w:t>
            </w:r>
          </w:p>
        </w:tc>
      </w:tr>
      <w:tr>
        <w:tc>
          <w:tcPr>
            <w:tcW w:type="dxa" w:w="2448"/>
          </w:tcPr>
          <w:p>
            <w:r>
              <w:t>Ecosystem functional integrity</w:t>
            </w:r>
          </w:p>
        </w:tc>
        <w:tc>
          <w:tcPr>
            <w:tcW w:type="dxa" w:w="2448"/>
          </w:tcPr>
          <w:p>
            <w:r>
              <w:t>26–37</w:t>
            </w:r>
          </w:p>
        </w:tc>
        <w:tc>
          <w:tcPr>
            <w:tcW w:type="dxa" w:w="2448"/>
          </w:tcPr>
          <w:p>
            <w:r>
              <w:t>12</w:t>
            </w:r>
          </w:p>
        </w:tc>
        <w:tc>
          <w:tcPr>
            <w:tcW w:type="dxa" w:w="2448"/>
          </w:tcPr>
          <w:p>
            <w:r>
              <w:t>Proposed AridHab-Q rubrics</w:t>
            </w:r>
          </w:p>
        </w:tc>
      </w:tr>
    </w:tbl>
    <w:p>
      <w:r>
        <w:t>The source scorecard contains several three- or four-level items and some ambiguous transcribed intervals (e.g., basal-cover classes). The app retains the available labels instead of fabricating missing levels or silently correcting uncertain thresholds. Researchers should consult the original publication and document any subsequent correction.</w:t>
      </w:r>
    </w:p>
    <w:p>
      <w:pPr>
        <w:pStyle w:val="Heading1"/>
      </w:pPr>
      <w:r>
        <w:t>4. Field assessment and ecological reference conditions</w:t>
      </w:r>
    </w:p>
    <w:p>
      <w:r>
        <w:t>Define a homogeneous evaluation unit and document site ID, date, assessor, landform, coordinates, rainfall/season and vegetation setting. For each attribute inspect representative conditions, record measurements and units where feasible, select only an available category, and retain a concise field justification and photo evidence. Reference conditions should represent the potential of the same ecological site rather than a universal vegetation-cover target. Biocrust, infiltration, seedling survival, recovery and rainfall-adjusted productivity are explicitly proxy-based unless direct measurement or repeat surveys are available. A blank rating is unassessed, not zero.</w:t>
      </w:r>
    </w:p>
    <w:p>
      <w:pPr>
        <w:pStyle w:val="Heading1"/>
      </w:pPr>
      <w:r>
        <w:t>5. Colour-illustrated attributes and Supplementary Material S1</w:t>
      </w:r>
    </w:p>
    <w:p>
      <w:r>
        <w:t>The graphical interface displays a distinct full-colour explanatory plate for each of the 37 attributes alongside the corresponding rating descriptions. Plates are stored as www/attribute_guides/attribute_01.png through attribute_37.png, and are also included as Supplementary Material S1: a field guide with the 37 attribute definitions, all available rating descriptions, cautions, observation prompts and scoring equations. The software rating table is authoritative if a graphic caption differs from a published threshold.</w:t>
      </w:r>
    </w:p>
    <w:p>
      <w:pPr>
        <w:pStyle w:val="Heading1"/>
      </w:pPr>
      <w:r>
        <w:t>6. Rating normalization and composite degradation index</w:t>
      </w:r>
    </w:p>
    <w:p>
      <w:r>
        <w:t>For indicator i, let r_i be the selected ordinal degradation category. Define normalized degradation d_i = 25 × (r_i − 1), yielding 0, 25, 50, 75 and 100 for categories 1–5. For each component g with n_g attributes, D_g = (Σ d_i)/n_g. The integrated 37-attribute Habitat Quality Index, operationally expressed as a degradation index in this release, is HQI_37 = (D_E + D_H + D_W + D_F)/4. Higher values represent greater degradation. A final HQI is withheld if any of the 37 required ratings is missing; component summaries may be provisional. The equal weighting is a design choice, not an empirically estimated ecological importance coefficient.</w:t>
      </w:r>
    </w:p>
    <w:p>
      <w:r>
        <w:t>Illustrative arithmetic only: if all indicators in the four components were assigned ratings 2, 3, 2 and 4, respectively, component degradation would be 25, 50, 25 and 75, and HQI_37 = (25 + 50 + 25 + 75)/4 = 43.75. This is a hypothetical demonstration, not a measured field result.</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HQI range</w:t>
            </w:r>
          </w:p>
        </w:tc>
        <w:tc>
          <w:tcPr>
            <w:tcW w:type="dxa" w:w="4896"/>
          </w:tcPr>
          <w:p>
            <w:r>
              <w:t>Provisional degradation class</w:t>
            </w:r>
          </w:p>
        </w:tc>
      </w:tr>
      <w:tr>
        <w:tc>
          <w:tcPr>
            <w:tcW w:type="dxa" w:w="4896"/>
          </w:tcPr>
          <w:p>
            <w:r>
              <w:t>0–25</w:t>
            </w:r>
          </w:p>
        </w:tc>
        <w:tc>
          <w:tcPr>
            <w:tcW w:type="dxa" w:w="4896"/>
          </w:tcPr>
          <w:p>
            <w:r>
              <w:t>None</w:t>
            </w:r>
          </w:p>
        </w:tc>
      </w:tr>
      <w:tr>
        <w:tc>
          <w:tcPr>
            <w:tcW w:type="dxa" w:w="4896"/>
          </w:tcPr>
          <w:p>
            <w:r>
              <w:t>&gt;25–50</w:t>
            </w:r>
          </w:p>
        </w:tc>
        <w:tc>
          <w:tcPr>
            <w:tcW w:type="dxa" w:w="4896"/>
          </w:tcPr>
          <w:p>
            <w:r>
              <w:t>Slight</w:t>
            </w:r>
          </w:p>
        </w:tc>
      </w:tr>
      <w:tr>
        <w:tc>
          <w:tcPr>
            <w:tcW w:type="dxa" w:w="4896"/>
          </w:tcPr>
          <w:p>
            <w:r>
              <w:t>&gt;50–70</w:t>
            </w:r>
          </w:p>
        </w:tc>
        <w:tc>
          <w:tcPr>
            <w:tcW w:type="dxa" w:w="4896"/>
          </w:tcPr>
          <w:p>
            <w:r>
              <w:t>Moderate</w:t>
            </w:r>
          </w:p>
        </w:tc>
      </w:tr>
      <w:tr>
        <w:tc>
          <w:tcPr>
            <w:tcW w:type="dxa" w:w="4896"/>
          </w:tcPr>
          <w:p>
            <w:r>
              <w:t>&gt;70–90</w:t>
            </w:r>
          </w:p>
        </w:tc>
        <w:tc>
          <w:tcPr>
            <w:tcW w:type="dxa" w:w="4896"/>
          </w:tcPr>
          <w:p>
            <w:r>
              <w:t>Severe</w:t>
            </w:r>
          </w:p>
        </w:tc>
      </w:tr>
      <w:tr>
        <w:tc>
          <w:tcPr>
            <w:tcW w:type="dxa" w:w="4896"/>
          </w:tcPr>
          <w:p>
            <w:r>
              <w:t>&gt;90–100</w:t>
            </w:r>
          </w:p>
        </w:tc>
        <w:tc>
          <w:tcPr>
            <w:tcW w:type="dxa" w:w="4896"/>
          </w:tcPr>
          <w:p>
            <w:r>
              <w:t>Very severe</w:t>
            </w:r>
          </w:p>
        </w:tc>
      </w:tr>
    </w:tbl>
    <w:p>
      <w:r>
        <w:t>These bands are descriptive software categories requiring independent field calibration. They should not be represented as published Kumar, Pyke or NRCS thresholds.</w:t>
      </w:r>
    </w:p>
    <w:p>
      <w:pPr>
        <w:pStyle w:val="Heading1"/>
      </w:pPr>
      <w:r>
        <w:t>7. Application architecture and software functions</w:t>
      </w:r>
    </w:p>
    <w:p>
      <w:r>
        <w:t>AridHab-Q is implemented in R using shiny (required) and jsonlite (required). The optional plotly package enables interactive PCA graphics; base R supplies CSV handling, plotting, statistics and principal components. The release includes colour-coded navigation tabs, author and site information, full-colour attribute plates, contextual scoring tables, automatic rating preservation during navigation, Next/Previous/Next-unrated controls, site-specific JSON records, new-site/reset/delete controls, CSV and JSON exports, multi-site imports and inventories, graphical score summaries, and exploratory ordination where implemented in app.R. Features are documented as functions present in the release source; no claim is made that every pathway has undergone independent acceptance testing.</w:t>
      </w:r>
    </w:p>
    <w:p>
      <w:pPr>
        <w:pStyle w:val="Heading1"/>
      </w:pPr>
      <w:r>
        <w:t>8. R libraries, installation and reproducibility</w:t>
      </w:r>
    </w:p>
    <w:p>
      <w:r>
        <w:t>R dependencies identified in the supplied app.R are shiny, jsonlite and optional plotly. The application also uses base/recommended R functionality for descriptive statistics, CSV I/O and PCA. The provided install_packages.R and run_app.R scripts contain executable setup commands. The exact R/package version numbers of prior dataset tests were not supplied, so package-version reproducibility should be captured at a tagged release.</w:t>
      </w:r>
    </w:p>
    <w:p>
      <w:r>
        <w:t>Install: install.packages(c("shiny", "jsonlite")); optionally install.packages("plotly"). Run from repository root: shiny::runApp("."). Optional hosted deployment requires rsconnect and a configured shinyapps.io/Posit account: install.packages("rsconnect"); rsconnect::deployApp(appDir="."). GitHub itself stores the source but does not execute the R server. Code and supplementary materials are archived with a tagged GitHub release and can be assigned a Zenodo DOI after deposit.</w:t>
      </w:r>
    </w:p>
    <w:p>
      <w:pPr>
        <w:pStyle w:val="Heading1"/>
      </w:pPr>
      <w:r>
        <w:t>9. Use of the two supporting methodological documents</w:t>
      </w:r>
    </w:p>
    <w:p>
      <w:r>
        <w:t>The 2001 Pasture Condition Score Sheet contributes a field-scorecard paradigm and separation of indicator ratings from explanatory plant-vigour causes. Pyke et al. (2002) contributes ecological-site reference logic, emphasis on soil stability/hydrologic function/biotic integrity, and the distinction between rapid status assessment and monitoring. Neither document establishes numerical calibration of AridHab-Q’s proposed 12 additional indicators or its composite HQI. Unlike Pyke et al.’s three separate attribute evaluations, AridHab-Q adds a proposed composite while retaining independent domain scores.</w:t>
      </w:r>
    </w:p>
    <w:p>
      <w:pPr>
        <w:pStyle w:val="Heading1"/>
      </w:pPr>
      <w:r>
        <w:t>10. Software testing and validation status</w:t>
      </w:r>
    </w:p>
    <w:p>
      <w:r>
        <w:t>The developer reports that AridHab-Q has been exercised using multiple datasets, including multi-site workflows. This establishes a development and usability-testing history as reported by the author; the two supporting publications do not document AridHab-Q test cases, numerical benchmarks, sample sizes, independent replication or ecological predictive performance. Formal validation should include (i) unit tests of the normalization and missing-value logic, (ii) import/export round trips, (iii) inter-observer agreement, (iv) comparison with independent soil/vegetation measurements, (v) sensitivity to weights and seasonal rainfall, and (vi) site-type-specific threshold calibration. Do not present unverified accuracy percentages or fabricated field results.</w:t>
      </w:r>
    </w:p>
    <w:p>
      <w:pPr>
        <w:pStyle w:val="Heading1"/>
      </w:pPr>
      <w:r>
        <w:t>11. Limitations and interpretation</w:t>
      </w:r>
    </w:p>
    <w:p>
      <w:r>
        <w:t>Ordinal classes are subjective without observer calibration. Some historical category thresholds need source verification. Equal component weighting and final bands are provisional. Functional proxies do not substitute for measured infiltration, survival or production. Naturally sparse desert vegetation requires local ecological reference conditions. Spatially correlated or overlapping indicators may double-count ecological processes; sensitivity and redundancy analysis are recommended. Results should be used for prioritization and further verification rather than regulatory certification.</w:t>
      </w:r>
    </w:p>
    <w:p>
      <w:pPr>
        <w:pStyle w:val="Heading1"/>
      </w:pPr>
      <w:r>
        <w:t>12. Data availability, software availability and licensing</w:t>
      </w:r>
    </w:p>
    <w:p>
      <w:r>
        <w:t>Source code, scoring CSV files, colour attribute illustrations, field guide, command documentation and release metadata are packaged together for GitHub publication and optional Zenodo archival. A repository URL and DOI must be added after the actual release. Site records may contain sensitive coordinates and should be reviewed before public release. Existing code/photo rights and the included license should be verified by the author before public reuse permissions are asserted.</w:t>
      </w:r>
    </w:p>
    <w:p>
      <w:pPr>
        <w:pStyle w:val="Heading1"/>
      </w:pPr>
      <w:r>
        <w:t>References</w:t>
      </w:r>
    </w:p>
    <w:p>
      <w:r>
        <w:t>Cosgrove, D., Undersander, D., &amp; Cropper, J. (2001). Pasture Condition Score Sheet. USDA Natural Resources Conservation Service, Grazing Lands Technology Institute, May 2001.</w:t>
      </w:r>
    </w:p>
    <w:p>
      <w:r>
        <w:t>Pyke, D. A., Herrick, J. E., Shaver, P., &amp; Pellant, M. (2002). Rangeland health attributes and indicators for qualitative assessment. Journal of Range Management, 55(6), 584–597.</w:t>
      </w:r>
    </w:p>
    <w:p>
      <w:r>
        <w:t>Kumar, S. (1992). Vegetation degradation assessment scorecard. Annals of Arid Zone, 31(1), 53–62. [Full original bibliographic details should be verified against the primary publication before journal submission.]</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