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Supplementary Material S1</w:t>
      </w:r>
    </w:p>
    <w:p>
      <w:pPr>
        <w:jc w:val="center"/>
      </w:pPr>
      <w:r>
        <w:t>AridHab-Q: Illustrated field guide, 37 attributes and computational formulas | 2026.10</w:t>
      </w:r>
    </w:p>
    <w:p>
      <w:r>
        <w:t>Each attribute is accompanied by a separate full-colour plate displayed in the Shiny application and distributed as www/attribute_guides/attribute_NN.png. The guide below reproduces the operational rating text; blank original categories are intentionally unavailable.</w:t>
      </w:r>
    </w:p>
    <w:p>
      <w:pPr>
        <w:pStyle w:val="Heading1"/>
      </w:pPr>
      <w:r>
        <w:t>Field assessment instructions</w:t>
      </w:r>
    </w:p>
    <w:p>
      <w:r>
        <w:t>Record site ID, date, coordinates, habitat, assessor, ecological reference, season/rainfall and photographs. For each attribute record an observed value (with units if applicable), field evidence, the selected valid rating and a verification note. Rating 1 = least degradation; rating 5 = greatest degradation. Do not assign an absent class.</w:t>
      </w:r>
    </w:p>
    <w:p>
      <w:pPr>
        <w:pStyle w:val="Heading2"/>
      </w:pPr>
      <w:r>
        <w:t>01. Removal of plant parts (%)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Up to 65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66–75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76–85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86–95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Over 95</w:t>
            </w:r>
          </w:p>
        </w:tc>
      </w:tr>
    </w:tbl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02. Bare surface area (%)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0–10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11–20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21–40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41–70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Over 70</w:t>
            </w:r>
          </w:p>
        </w:tc>
      </w:tr>
    </w:tbl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03. Litter quantity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Heavy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Moderate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Sporadic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Four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04. Litter condition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Accumulating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Replacing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Three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05. Therophyte increase (%) over standard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25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26–50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51–75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76–90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Over 90</w:t>
            </w:r>
          </w:p>
        </w:tc>
      </w:tr>
    </w:tbl>
    <w:p>
      <w:r>
        <w:t>Field caution: Requires a standard; 25 is transcribed as printed.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06. Decline in species richness (%)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25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26–50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51–75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76–90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Over 90</w:t>
            </w:r>
          </w:p>
        </w:tc>
      </w:tr>
    </w:tbl>
    <w:p>
      <w:r>
        <w:t>Field caution: Requires baseline/standard; 25 is transcribed as printed.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07. Age distribution (key species)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Sufficient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Insufficient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Few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Three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08. Vigour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Optimum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Slightly pedestalled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Pedestalled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Pale, highly pedestalled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Four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09. Seeds of climax species in soil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Abundant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Moderate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Slight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Sporadic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</w:tbl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10. Botanical composition of climax species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25–40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10–&lt;25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1–&lt;10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&lt;1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Four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11. Total basal cover (%)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4–8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3–6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2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1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&lt;1</w:t>
            </w:r>
          </w:p>
        </w:tc>
      </w:tr>
    </w:tbl>
    <w:p>
      <w:r>
        <w:t>Field caution: Ranges overlap in the published table; manual verification required.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12. Basal cover of climax species (%)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Over 50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25–&lt;25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20–&lt;25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5–&lt;20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&lt;5</w:t>
            </w:r>
          </w:p>
        </w:tc>
      </w:tr>
    </w:tbl>
    <w:p>
      <w:r>
        <w:t>Field caution: Rating 2 is internally inconsistent in scanned source; do not auto-classify.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13. RIV of climax species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Over 25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10–&lt;25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6–&lt;10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1–&lt;6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&lt;1</w:t>
            </w:r>
          </w:p>
        </w:tc>
      </w:tr>
    </w:tbl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14. Biomass contribution of climax species (%)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Over 50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25–&lt;50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10–&lt;25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5–&lt;10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&lt;1</w:t>
            </w:r>
          </w:p>
        </w:tc>
      </w:tr>
    </w:tbl>
    <w:p>
      <w:r>
        <w:t>Field caution: Original table has an apparent gap between 1 and 5; manual review.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15. Existing biomass as % potential biomass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Over 60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40–&lt;60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25–&lt;40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10–&lt;25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&lt;10</w:t>
            </w:r>
          </w:p>
        </w:tc>
      </w:tr>
    </w:tbl>
    <w:p>
      <w:r>
        <w:t>Field caution: Requires potential biomass estimate.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16. Carrying capacity (ACU/100 ha)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20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17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13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5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None</w:t>
            </w:r>
          </w:p>
        </w:tc>
      </w:tr>
    </w:tbl>
    <w:p>
      <w:r>
        <w:t>Field caution: Discrete values as printed; Table 5 provides further context.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17. Grazing intensity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Light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Moderate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Heavy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Very heavy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Four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7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18. Percent plants showing hedging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Absent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50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75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100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Four categories in Table 7; Table 1 also describes hedging.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8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19. Browse lines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Absent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Apparent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Evident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Three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1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20. Browsing damage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Light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Light to moderate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Moderate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Moderate to heavy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Heavy</w:t>
            </w:r>
          </w:p>
        </w:tc>
      </w:tr>
    </w:tbl>
    <w:p>
      <w:r>
        <w:t>Field caution: Table 3 separately gives ocular damage ratings 0–6.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0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21. Increase in relative density of unpalatable species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10–20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21–40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41–60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61–80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&gt;80</w:t>
            </w:r>
          </w:p>
        </w:tc>
      </w:tr>
    </w:tbl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22. Relative density of key/climax species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40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30–&lt;40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10–&lt;30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1–&lt;10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&lt;1</w:t>
            </w:r>
          </w:p>
        </w:tc>
      </w:tr>
    </w:tbl>
    <w:p>
      <w:r>
        <w:t>Field caution: 40 is transcribed as printed.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23. RIV of key/climax species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Over 20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10–&lt;20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5–&lt;10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1–&lt;5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&lt;1</w:t>
            </w:r>
          </w:p>
        </w:tc>
      </w:tr>
    </w:tbl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24. % decline in total number of plants/ha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50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26–40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41–60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61–80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&gt;80</w:t>
            </w:r>
          </w:p>
        </w:tc>
      </w:tr>
    </w:tbl>
    <w:p>
      <w:r>
        <w:t>Field caution: First value appears as 50 in Table 7; conflicts with prose on page 57; do not auto-classify.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25. Dominance–diversity curves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Lognormal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Partly lognormal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Lognormal to geometric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Geometric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Not available in this rubric</w:t>
            </w:r>
          </w:p>
        </w:tc>
      </w:tr>
    </w:tbl>
    <w:p>
      <w:r>
        <w:t>Field caution: Four categories in original.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26. Biocrust integrity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Intact expected crusts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Minor localized crust damage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Patchy loss of expected crusts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Extensive disturbed crust patches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Near-complete destruction where crust expected</w:t>
            </w:r>
          </w:p>
        </w:tc>
      </w:tr>
    </w:tbl>
    <w:p>
      <w:r>
        <w:t>Field caution: Use only where biocrust is naturally expected; distinguish intact bare soils from degraded crust.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27. Surface infiltration visual proxy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No abnormal ponding under comparable rainfall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Rare short-lived ponding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Localized persistent ponding or runoff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Frequent runoff on comparable soil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Widespread persistent runoff or ponding</w:t>
            </w:r>
          </w:p>
        </w:tc>
      </w:tr>
    </w:tbl>
    <w:p>
      <w:r>
        <w:t>Field caution: Visual proxy only; actual infiltration requires a standardized field test.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28. Active soil erosion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No active erosion evidence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Occasional minor surface erosion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Localized rills or exposed roots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Extensive rilling and sediment movement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Widespread severe active erosion</w:t>
            </w:r>
          </w:p>
        </w:tc>
      </w:tr>
    </w:tbl>
    <w:p>
      <w:r>
        <w:t>Field caution: Distinguish old stable features from active erosion.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29. Vegetation patch connectivity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Expected functional patches connected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Minor patch separation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Several partly isolated patches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Most patches isolated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Remnant patches severely isolated</w:t>
            </w:r>
          </w:p>
        </w:tc>
      </w:tr>
    </w:tbl>
    <w:p>
      <w:r>
        <w:t>Field caution: Compare like-for-like landforms; natural patchiness is not necessarily degradation.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29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30. Bare-gap continuity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Short disconnected bare gaps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Mostly short gaps with isolated long gaps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Several connected exposed gaps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Frequent long connected bare pathways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Long bare pathways dominate</w:t>
            </w:r>
          </w:p>
        </w:tc>
      </w:tr>
    </w:tbl>
    <w:p>
      <w:r>
        <w:t>Field caution: Assess length and connectivity, not just percentage bare ground.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0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31. Perennial regeneration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Expected juveniles and adults represented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Minor recruitment shortfall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Limited recruitment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Very few juveniles despite opportunity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Persistent recruitment failure</w:t>
            </w:r>
          </w:p>
        </w:tc>
      </w:tr>
    </w:tbl>
    <w:p>
      <w:r>
        <w:t>Field caution: A single dry year without seedlings does not establish failure.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32. Seedling establishment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High documented cohort survival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Minor seedling mortality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Partial establishment failure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Very low survival across observations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Repeated near-total establishment failure</w:t>
            </w:r>
          </w:p>
        </w:tc>
      </w:tr>
    </w:tbl>
    <w:p>
      <w:r>
        <w:t>Field caution: Requires repeat observations; visual proxy if only one visit.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2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33. Expected functional groups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All expected native groups represented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One expected group slightly reduced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Several expected groups reduced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Most expected groups missing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Near-total loss of expected groups</w:t>
            </w:r>
          </w:p>
        </w:tc>
      </w:tr>
    </w:tbl>
    <w:p>
      <w:r>
        <w:t>Field caution: Define expected groups for habitat type before assessment.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3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34. Perennial forage persistence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Expected native perennial forage well represented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Minor decline in perennial forage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Noticeable perennial forage reduction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Sparse expected perennial forage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Near absence of expected perennial forage</w:t>
            </w:r>
          </w:p>
        </w:tc>
      </w:tr>
    </w:tbl>
    <w:p>
      <w:r>
        <w:t>Field caution: Avoid double-counting Kumar climax-species biomass indicators.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4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35. Vegetation recovery evidence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Strong documented post-disturbance recovery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Recovery largely complete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Slow or incomplete recovery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Little recovery over repeat visits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Persistent recovery failure</w:t>
            </w:r>
          </w:p>
        </w:tc>
      </w:tr>
    </w:tbl>
    <w:p>
      <w:r>
        <w:t>Field caution: Requires repeated visits and comparable rainfall or season.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5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36. Rainfall-adjusted productivity proxy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Productivity consistent with rainfall expectations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Slight repeated underperformance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Moderate repeated underperformance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Marked repeated underperformance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Persistent severe underperformance</w:t>
            </w:r>
          </w:p>
        </w:tc>
      </w:tr>
    </w:tbl>
    <w:p>
      <w:r>
        <w:t>Field caution: A rainfall-productivity model is required for quantitative assessment.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6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37. Soil surface disturbance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Degradation rating</w:t>
            </w:r>
          </w:p>
        </w:tc>
        <w:tc>
          <w:tcPr>
            <w:tcW w:type="dxa" w:w="4896"/>
          </w:tcPr>
          <w:p>
            <w:r>
              <w:t>Published / proposed description</w:t>
            </w:r>
          </w:p>
        </w:tc>
      </w:tr>
      <w:tr>
        <w:tc>
          <w:tcPr>
            <w:tcW w:type="dxa" w:w="4896"/>
          </w:tcPr>
          <w:p>
            <w:r>
              <w:t>1</w:t>
            </w:r>
          </w:p>
        </w:tc>
        <w:tc>
          <w:tcPr>
            <w:tcW w:type="dxa" w:w="4896"/>
          </w:tcPr>
          <w:p>
            <w:r>
              <w:t>Little damaging surface disturbance</w:t>
            </w:r>
          </w:p>
        </w:tc>
      </w:tr>
      <w:tr>
        <w:tc>
          <w:tcPr>
            <w:tcW w:type="dxa" w:w="4896"/>
          </w:tcPr>
          <w:p>
            <w:r>
              <w:t>2</w:t>
            </w:r>
          </w:p>
        </w:tc>
        <w:tc>
          <w:tcPr>
            <w:tcW w:type="dxa" w:w="4896"/>
          </w:tcPr>
          <w:p>
            <w:r>
              <w:t>Occasional localized disturbance</w:t>
            </w:r>
          </w:p>
        </w:tc>
      </w:tr>
      <w:tr>
        <w:tc>
          <w:tcPr>
            <w:tcW w:type="dxa" w:w="4896"/>
          </w:tcPr>
          <w:p>
            <w:r>
              <w:t>3</w:t>
            </w:r>
          </w:p>
        </w:tc>
        <w:tc>
          <w:tcPr>
            <w:tcW w:type="dxa" w:w="4896"/>
          </w:tcPr>
          <w:p>
            <w:r>
              <w:t>Repeated localized trampling or scraping</w:t>
            </w:r>
          </w:p>
        </w:tc>
      </w:tr>
      <w:tr>
        <w:tc>
          <w:tcPr>
            <w:tcW w:type="dxa" w:w="4896"/>
          </w:tcPr>
          <w:p>
            <w:r>
              <w:t>4</w:t>
            </w:r>
          </w:p>
        </w:tc>
        <w:tc>
          <w:tcPr>
            <w:tcW w:type="dxa" w:w="4896"/>
          </w:tcPr>
          <w:p>
            <w:r>
              <w:t>Extensive disturbed surface</w:t>
            </w:r>
          </w:p>
        </w:tc>
      </w:tr>
      <w:tr>
        <w:tc>
          <w:tcPr>
            <w:tcW w:type="dxa" w:w="4896"/>
          </w:tcPr>
          <w:p>
            <w:r>
              <w:t>5</w:t>
            </w:r>
          </w:p>
        </w:tc>
        <w:tc>
          <w:tcPr>
            <w:tcW w:type="dxa" w:w="4896"/>
          </w:tcPr>
          <w:p>
            <w:r>
              <w:t>Widespread severe surface disturbance</w:t>
            </w:r>
          </w:p>
        </w:tc>
      </w:tr>
    </w:tbl>
    <w:p>
      <w:r>
        <w:t>Field caution: Record disturbance type and distinguish natural soil disturbance.</w:t>
      </w:r>
    </w:p>
    <w:p>
      <w:r>
        <w:t>Field evidence: ______________________________   Measurement and units: ______________________________   Selected rating: ______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ribute_3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Calculation sheet and interpretation</w:t>
      </w:r>
    </w:p>
    <w:p>
      <w:r>
        <w:t>Normalized degradation: d_i = 25(r_i − 1). Entire vegetation: D_E = Σ(d_1 … d_7)/7. Herbaceous: D_H = Σ(d_8 … d_17)/10. Woody: D_W = Σ(d_18 … d_25)/8. Functional integrity: D_F = Σ(d_26 … d_37)/12. Final: HQI_37 = (D_E + D_H + D_W + D_F)/4, if and only if all 37 indicators are rated.</w:t>
      </w:r>
    </w:p>
    <w:p>
      <w:r>
        <w:t>Illustrative calculation: D_E = 25, D_H = 50, D_W = 25, D_F = 75 gives HQI = 43.75 (Slight, provisional). Higher HQI indicates greater degradation. Class limits: 0–25 None; &gt;25–50 Slight; &gt;50–70 Moderate; &gt;70–90 Severe; &gt;90–100 Very severe.</w:t>
      </w:r>
    </w:p>
    <w:p>
      <w:r>
        <w:t>Methodological provenance: first 25 from Kumar (1992) as represented in the release scorecard; last 12 are proposed AridHab-Q rubrics. Supporting conceptual literature: USDA–NRCS Pasture Condition Score Sheet (2001) and Pyke et al. (2002).</w:t>
      </w:r>
    </w:p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