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EB8A" w14:textId="4FDAF7C6" w:rsidR="00155BDA" w:rsidRPr="00FD3FEB" w:rsidRDefault="00C80432" w:rsidP="00FD3FEB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FD3FEB">
        <w:rPr>
          <w:rFonts w:ascii="Arial" w:hAnsi="Arial" w:cs="Arial"/>
        </w:rPr>
        <w:t>Product Intern Project</w:t>
      </w:r>
    </w:p>
    <w:p w14:paraId="32B7CA5C" w14:textId="77777777" w:rsidR="00FD3FEB" w:rsidRDefault="00FD3FEB" w:rsidP="0011035D">
      <w:pPr>
        <w:rPr>
          <w:rFonts w:ascii="Arial" w:hAnsi="Arial" w:cs="Arial"/>
        </w:rPr>
      </w:pPr>
    </w:p>
    <w:p w14:paraId="39CC25BF" w14:textId="7B7E2E01" w:rsidR="00C80432" w:rsidRPr="00FD3FEB" w:rsidRDefault="00C80432" w:rsidP="0011035D">
      <w:pPr>
        <w:rPr>
          <w:rFonts w:ascii="Arial" w:hAnsi="Arial" w:cs="Arial"/>
          <w:b/>
        </w:rPr>
      </w:pPr>
      <w:r w:rsidRPr="00FD3FEB">
        <w:rPr>
          <w:rFonts w:ascii="Arial" w:hAnsi="Arial" w:cs="Arial"/>
          <w:b/>
        </w:rPr>
        <w:t>Project Description</w:t>
      </w:r>
    </w:p>
    <w:p w14:paraId="58FBD385" w14:textId="0B7D279E" w:rsidR="0072558D" w:rsidRPr="004612BA" w:rsidRDefault="000531D2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 xml:space="preserve"> Every observation on t</w:t>
      </w:r>
      <w:r w:rsidR="0072558D" w:rsidRPr="004612BA">
        <w:rPr>
          <w:rFonts w:ascii="Arial" w:hAnsi="Arial" w:cs="Arial"/>
        </w:rPr>
        <w:t xml:space="preserve">he demographic data </w:t>
      </w:r>
      <w:r w:rsidRPr="004612BA">
        <w:rPr>
          <w:rFonts w:ascii="Arial" w:hAnsi="Arial" w:cs="Arial"/>
        </w:rPr>
        <w:t>represents a connection between two people and the data continues to describe the gender, year of birth and the race of the connected persons.</w:t>
      </w:r>
      <w:r w:rsidR="00D04836" w:rsidRPr="004612BA">
        <w:rPr>
          <w:rFonts w:ascii="Arial" w:hAnsi="Arial" w:cs="Arial"/>
        </w:rPr>
        <w:t xml:space="preserve"> </w:t>
      </w:r>
      <w:r w:rsidR="000044CB" w:rsidRPr="004612BA">
        <w:rPr>
          <w:rFonts w:ascii="Arial" w:hAnsi="Arial" w:cs="Arial"/>
        </w:rPr>
        <w:t>The aim is to analyze variables that shape the relationship between these connections</w:t>
      </w:r>
      <w:r w:rsidR="001C67A3" w:rsidRPr="004612BA">
        <w:rPr>
          <w:rFonts w:ascii="Arial" w:hAnsi="Arial" w:cs="Arial"/>
        </w:rPr>
        <w:t>. The impacting variables will help understand the social graph better.</w:t>
      </w:r>
    </w:p>
    <w:p w14:paraId="31D1AF93" w14:textId="17C4FFD3" w:rsidR="00050933" w:rsidRPr="00FD3FEB" w:rsidRDefault="00852BE4" w:rsidP="0011035D">
      <w:pPr>
        <w:rPr>
          <w:rFonts w:ascii="Arial" w:hAnsi="Arial" w:cs="Arial"/>
          <w:b/>
        </w:rPr>
      </w:pPr>
      <w:r w:rsidRPr="00FD3FEB">
        <w:rPr>
          <w:rFonts w:ascii="Arial" w:hAnsi="Arial" w:cs="Arial"/>
          <w:b/>
        </w:rPr>
        <w:t>Dataset</w:t>
      </w:r>
    </w:p>
    <w:p w14:paraId="60C54CC7" w14:textId="30A981C6" w:rsidR="001C67A3" w:rsidRPr="004612BA" w:rsidRDefault="001C67A3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>The dataset has 34037 observations with following variables:</w:t>
      </w:r>
    </w:p>
    <w:p w14:paraId="20702274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AC_Sink</w:t>
      </w:r>
      <w:proofErr w:type="spellEnd"/>
      <w:r w:rsidRPr="004612BA">
        <w:rPr>
          <w:rFonts w:ascii="Arial" w:hAnsi="Arial" w:cs="Arial"/>
        </w:rPr>
        <w:t xml:space="preserve"> (a unique ID representing a person)</w:t>
      </w:r>
    </w:p>
    <w:p w14:paraId="08E68400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AC_Source</w:t>
      </w:r>
      <w:proofErr w:type="spellEnd"/>
      <w:r w:rsidRPr="004612BA">
        <w:rPr>
          <w:rFonts w:ascii="Arial" w:hAnsi="Arial" w:cs="Arial"/>
        </w:rPr>
        <w:t xml:space="preserve"> (a unique ID representing a person)</w:t>
      </w:r>
    </w:p>
    <w:p w14:paraId="0E62AEE6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Sink_gender</w:t>
      </w:r>
      <w:proofErr w:type="spellEnd"/>
      <w:r w:rsidRPr="004612BA">
        <w:rPr>
          <w:rFonts w:ascii="Arial" w:hAnsi="Arial" w:cs="Arial"/>
        </w:rPr>
        <w:t xml:space="preserve"> (the gender of </w:t>
      </w:r>
      <w:proofErr w:type="spellStart"/>
      <w:r w:rsidRPr="004612BA">
        <w:rPr>
          <w:rFonts w:ascii="Arial" w:hAnsi="Arial" w:cs="Arial"/>
        </w:rPr>
        <w:t>AC_Sink</w:t>
      </w:r>
      <w:proofErr w:type="spellEnd"/>
      <w:r w:rsidRPr="004612BA">
        <w:rPr>
          <w:rFonts w:ascii="Arial" w:hAnsi="Arial" w:cs="Arial"/>
        </w:rPr>
        <w:t>)</w:t>
      </w:r>
    </w:p>
    <w:p w14:paraId="7ADC5830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Sink_YOB</w:t>
      </w:r>
      <w:proofErr w:type="spellEnd"/>
      <w:r w:rsidRPr="004612BA">
        <w:rPr>
          <w:rFonts w:ascii="Arial" w:hAnsi="Arial" w:cs="Arial"/>
        </w:rPr>
        <w:t xml:space="preserve"> (the year of birth of </w:t>
      </w:r>
      <w:proofErr w:type="spellStart"/>
      <w:r w:rsidRPr="004612BA">
        <w:rPr>
          <w:rFonts w:ascii="Arial" w:hAnsi="Arial" w:cs="Arial"/>
        </w:rPr>
        <w:t>AC_Sink</w:t>
      </w:r>
      <w:proofErr w:type="spellEnd"/>
      <w:r w:rsidRPr="004612BA">
        <w:rPr>
          <w:rFonts w:ascii="Arial" w:hAnsi="Arial" w:cs="Arial"/>
        </w:rPr>
        <w:t>)</w:t>
      </w:r>
    </w:p>
    <w:p w14:paraId="723010D6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Sink_race</w:t>
      </w:r>
      <w:proofErr w:type="spellEnd"/>
      <w:r w:rsidRPr="004612BA">
        <w:rPr>
          <w:rFonts w:ascii="Arial" w:hAnsi="Arial" w:cs="Arial"/>
        </w:rPr>
        <w:t xml:space="preserve"> (the race of </w:t>
      </w:r>
      <w:proofErr w:type="spellStart"/>
      <w:r w:rsidRPr="004612BA">
        <w:rPr>
          <w:rFonts w:ascii="Arial" w:hAnsi="Arial" w:cs="Arial"/>
        </w:rPr>
        <w:t>AC_Sink</w:t>
      </w:r>
      <w:proofErr w:type="spellEnd"/>
      <w:r w:rsidRPr="004612BA">
        <w:rPr>
          <w:rFonts w:ascii="Arial" w:hAnsi="Arial" w:cs="Arial"/>
        </w:rPr>
        <w:t>)</w:t>
      </w:r>
    </w:p>
    <w:p w14:paraId="3902D50F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Source_gender</w:t>
      </w:r>
      <w:proofErr w:type="spellEnd"/>
      <w:r w:rsidRPr="004612BA">
        <w:rPr>
          <w:rFonts w:ascii="Arial" w:hAnsi="Arial" w:cs="Arial"/>
        </w:rPr>
        <w:t xml:space="preserve"> (the gender of </w:t>
      </w:r>
      <w:proofErr w:type="spellStart"/>
      <w:r w:rsidRPr="004612BA">
        <w:rPr>
          <w:rFonts w:ascii="Arial" w:hAnsi="Arial" w:cs="Arial"/>
        </w:rPr>
        <w:t>AC_Source</w:t>
      </w:r>
      <w:proofErr w:type="spellEnd"/>
      <w:r w:rsidRPr="004612BA">
        <w:rPr>
          <w:rFonts w:ascii="Arial" w:hAnsi="Arial" w:cs="Arial"/>
        </w:rPr>
        <w:t>)</w:t>
      </w:r>
    </w:p>
    <w:p w14:paraId="3CB468E8" w14:textId="77777777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Source_YOB</w:t>
      </w:r>
      <w:proofErr w:type="spellEnd"/>
      <w:r w:rsidRPr="004612BA">
        <w:rPr>
          <w:rFonts w:ascii="Arial" w:hAnsi="Arial" w:cs="Arial"/>
        </w:rPr>
        <w:t xml:space="preserve"> (the year of birth of </w:t>
      </w:r>
      <w:proofErr w:type="spellStart"/>
      <w:r w:rsidRPr="004612BA">
        <w:rPr>
          <w:rFonts w:ascii="Arial" w:hAnsi="Arial" w:cs="Arial"/>
        </w:rPr>
        <w:t>AC_Source</w:t>
      </w:r>
      <w:proofErr w:type="spellEnd"/>
      <w:r w:rsidRPr="004612BA">
        <w:rPr>
          <w:rFonts w:ascii="Arial" w:hAnsi="Arial" w:cs="Arial"/>
        </w:rPr>
        <w:t>)</w:t>
      </w:r>
    </w:p>
    <w:p w14:paraId="7029588E" w14:textId="5BAA75E3" w:rsidR="001C67A3" w:rsidRPr="004612BA" w:rsidRDefault="001C67A3" w:rsidP="0011035D">
      <w:pPr>
        <w:rPr>
          <w:rFonts w:ascii="Arial" w:hAnsi="Arial" w:cs="Arial"/>
        </w:rPr>
      </w:pPr>
      <w:proofErr w:type="spellStart"/>
      <w:r w:rsidRPr="004612BA">
        <w:rPr>
          <w:rFonts w:ascii="Arial" w:hAnsi="Arial" w:cs="Arial"/>
        </w:rPr>
        <w:t>Source_race</w:t>
      </w:r>
      <w:proofErr w:type="spellEnd"/>
      <w:r w:rsidRPr="004612BA">
        <w:rPr>
          <w:rFonts w:ascii="Arial" w:hAnsi="Arial" w:cs="Arial"/>
        </w:rPr>
        <w:t xml:space="preserve"> (the race of </w:t>
      </w:r>
      <w:proofErr w:type="spellStart"/>
      <w:r w:rsidRPr="004612BA">
        <w:rPr>
          <w:rFonts w:ascii="Arial" w:hAnsi="Arial" w:cs="Arial"/>
        </w:rPr>
        <w:t>AC_Source</w:t>
      </w:r>
      <w:proofErr w:type="spellEnd"/>
      <w:r w:rsidRPr="004612BA">
        <w:rPr>
          <w:rFonts w:ascii="Arial" w:hAnsi="Arial" w:cs="Arial"/>
        </w:rPr>
        <w:t>)</w:t>
      </w:r>
    </w:p>
    <w:p w14:paraId="35795C4F" w14:textId="2114AB51" w:rsidR="00050933" w:rsidRPr="004612BA" w:rsidRDefault="00036649" w:rsidP="001103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each row represents relation between two individuals, one would assume the observations to be unidirectional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Ac_Sink</w:t>
      </w:r>
      <w:proofErr w:type="spellEnd"/>
      <w:r>
        <w:rPr>
          <w:rFonts w:ascii="Arial" w:hAnsi="Arial" w:cs="Arial"/>
        </w:rPr>
        <w:t xml:space="preserve"> knows </w:t>
      </w:r>
      <w:proofErr w:type="spellStart"/>
      <w:r>
        <w:rPr>
          <w:rFonts w:ascii="Arial" w:hAnsi="Arial" w:cs="Arial"/>
        </w:rPr>
        <w:t>Ac_Source</w:t>
      </w:r>
      <w:proofErr w:type="spellEnd"/>
      <w:r>
        <w:rPr>
          <w:rFonts w:ascii="Arial" w:hAnsi="Arial" w:cs="Arial"/>
        </w:rPr>
        <w:t xml:space="preserve">. Since we have records that display the reverse relation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Ac_Sink</w:t>
      </w:r>
      <w:proofErr w:type="spellEnd"/>
      <w:r>
        <w:rPr>
          <w:rFonts w:ascii="Arial" w:hAnsi="Arial" w:cs="Arial"/>
        </w:rPr>
        <w:t xml:space="preserve"> knows </w:t>
      </w:r>
      <w:proofErr w:type="spellStart"/>
      <w:r>
        <w:rPr>
          <w:rFonts w:ascii="Arial" w:hAnsi="Arial" w:cs="Arial"/>
        </w:rPr>
        <w:t>Ac_Source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Ac_source</w:t>
      </w:r>
      <w:proofErr w:type="spellEnd"/>
      <w:r>
        <w:rPr>
          <w:rFonts w:ascii="Arial" w:hAnsi="Arial" w:cs="Arial"/>
        </w:rPr>
        <w:t xml:space="preserve"> knows </w:t>
      </w:r>
      <w:proofErr w:type="spellStart"/>
      <w:r>
        <w:rPr>
          <w:rFonts w:ascii="Arial" w:hAnsi="Arial" w:cs="Arial"/>
        </w:rPr>
        <w:t>Ac_</w:t>
      </w:r>
      <w:proofErr w:type="gramStart"/>
      <w:r>
        <w:rPr>
          <w:rFonts w:ascii="Arial" w:hAnsi="Arial" w:cs="Arial"/>
        </w:rPr>
        <w:t>sink</w:t>
      </w:r>
      <w:proofErr w:type="spellEnd"/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we consider the observations to be bidirectional as suggested.</w:t>
      </w:r>
    </w:p>
    <w:p w14:paraId="743E8768" w14:textId="77777777" w:rsidR="00036649" w:rsidRDefault="00036649" w:rsidP="0011035D">
      <w:pPr>
        <w:rPr>
          <w:rFonts w:ascii="Arial" w:hAnsi="Arial" w:cs="Arial"/>
        </w:rPr>
      </w:pPr>
    </w:p>
    <w:p w14:paraId="56C9BF82" w14:textId="77777777" w:rsidR="00036649" w:rsidRDefault="00036649" w:rsidP="0011035D">
      <w:pPr>
        <w:rPr>
          <w:rFonts w:ascii="Arial" w:hAnsi="Arial" w:cs="Arial"/>
        </w:rPr>
      </w:pPr>
    </w:p>
    <w:p w14:paraId="5A7FCE37" w14:textId="77777777" w:rsidR="00036649" w:rsidRDefault="00036649" w:rsidP="0011035D">
      <w:pPr>
        <w:rPr>
          <w:rFonts w:ascii="Arial" w:hAnsi="Arial" w:cs="Arial"/>
        </w:rPr>
      </w:pPr>
    </w:p>
    <w:p w14:paraId="326B97E6" w14:textId="77777777" w:rsidR="00036649" w:rsidRDefault="00036649" w:rsidP="0011035D">
      <w:pPr>
        <w:rPr>
          <w:rFonts w:ascii="Arial" w:hAnsi="Arial" w:cs="Arial"/>
        </w:rPr>
      </w:pPr>
    </w:p>
    <w:p w14:paraId="2AC92418" w14:textId="77777777" w:rsidR="00036649" w:rsidRDefault="00036649" w:rsidP="0011035D">
      <w:pPr>
        <w:rPr>
          <w:rFonts w:ascii="Arial" w:hAnsi="Arial" w:cs="Arial"/>
        </w:rPr>
      </w:pPr>
    </w:p>
    <w:p w14:paraId="5449B077" w14:textId="77777777" w:rsidR="00036649" w:rsidRDefault="00036649" w:rsidP="0011035D">
      <w:pPr>
        <w:rPr>
          <w:rFonts w:ascii="Arial" w:hAnsi="Arial" w:cs="Arial"/>
        </w:rPr>
      </w:pPr>
    </w:p>
    <w:p w14:paraId="686F2E5C" w14:textId="77777777" w:rsidR="00FD3FEB" w:rsidRDefault="00FD3FEB" w:rsidP="0011035D">
      <w:pPr>
        <w:rPr>
          <w:rFonts w:ascii="Arial" w:hAnsi="Arial" w:cs="Arial"/>
        </w:rPr>
      </w:pPr>
    </w:p>
    <w:p w14:paraId="2797F572" w14:textId="7B96EF81" w:rsidR="00852BE4" w:rsidRPr="00FD3FEB" w:rsidRDefault="00852BE4" w:rsidP="0011035D">
      <w:pPr>
        <w:rPr>
          <w:rFonts w:ascii="Arial" w:hAnsi="Arial" w:cs="Arial"/>
          <w:b/>
        </w:rPr>
      </w:pPr>
      <w:r w:rsidRPr="00FD3FEB">
        <w:rPr>
          <w:rFonts w:ascii="Arial" w:hAnsi="Arial" w:cs="Arial"/>
          <w:b/>
        </w:rPr>
        <w:lastRenderedPageBreak/>
        <w:t>Analysis and Findings</w:t>
      </w:r>
    </w:p>
    <w:p w14:paraId="2B5EA5A3" w14:textId="13182839" w:rsidR="008C3F30" w:rsidRPr="004612BA" w:rsidRDefault="001521AB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>Relationship between same Gender: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2120"/>
        <w:gridCol w:w="1720"/>
        <w:gridCol w:w="963"/>
        <w:gridCol w:w="840"/>
        <w:gridCol w:w="1180"/>
      </w:tblGrid>
      <w:tr w:rsidR="009212E6" w:rsidRPr="004612BA" w14:paraId="3C707910" w14:textId="77777777" w:rsidTr="009212E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1046FA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Count of </w:t>
            </w:r>
            <w:proofErr w:type="spellStart"/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gender_sink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7F8AF6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02C44D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319C02" w14:textId="77777777" w:rsidR="009212E6" w:rsidRPr="004612BA" w:rsidRDefault="009212E6" w:rsidP="0011035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3AD0FF" w14:textId="77777777" w:rsidR="009212E6" w:rsidRPr="004612BA" w:rsidRDefault="009212E6" w:rsidP="0011035D">
            <w:pPr>
              <w:rPr>
                <w:rFonts w:ascii="Arial" w:eastAsia="Times New Roman" w:hAnsi="Arial" w:cs="Arial"/>
              </w:rPr>
            </w:pPr>
          </w:p>
        </w:tc>
      </w:tr>
      <w:tr w:rsidR="009212E6" w:rsidRPr="004612BA" w14:paraId="2481D6B3" w14:textId="77777777" w:rsidTr="009212E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13E05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50C2C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80E354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DE45B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E64E7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Grand Total</w:t>
            </w:r>
          </w:p>
        </w:tc>
      </w:tr>
      <w:tr w:rsidR="009212E6" w:rsidRPr="004612BA" w14:paraId="57AD24BE" w14:textId="77777777" w:rsidTr="009212E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5045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263C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37.28%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83FE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20.41%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9F3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0.26%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37F3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57.95%</w:t>
            </w:r>
          </w:p>
        </w:tc>
      </w:tr>
      <w:tr w:rsidR="009212E6" w:rsidRPr="004612BA" w14:paraId="75145BCE" w14:textId="77777777" w:rsidTr="009212E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118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7EB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19.96%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9FD0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21.42%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C64F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0.13%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6CB6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41.51%</w:t>
            </w:r>
          </w:p>
        </w:tc>
      </w:tr>
      <w:tr w:rsidR="009212E6" w:rsidRPr="004612BA" w14:paraId="31A692DD" w14:textId="77777777" w:rsidTr="009212E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D7F0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CD74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0.36%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CEFB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0.17%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45FB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0.01%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7D02" w14:textId="77777777" w:rsidR="009212E6" w:rsidRPr="004612BA" w:rsidRDefault="009212E6" w:rsidP="0011035D">
            <w:pPr>
              <w:rPr>
                <w:rFonts w:ascii="Arial" w:eastAsia="Times New Roman" w:hAnsi="Arial" w:cs="Arial"/>
                <w:color w:val="000000"/>
              </w:rPr>
            </w:pPr>
            <w:r w:rsidRPr="004612BA">
              <w:rPr>
                <w:rFonts w:ascii="Arial" w:eastAsia="Times New Roman" w:hAnsi="Arial" w:cs="Arial"/>
                <w:color w:val="000000"/>
              </w:rPr>
              <w:t>0.54%</w:t>
            </w:r>
          </w:p>
        </w:tc>
      </w:tr>
      <w:tr w:rsidR="009212E6" w:rsidRPr="004612BA" w14:paraId="23A2E434" w14:textId="77777777" w:rsidTr="009212E6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5CF9A8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E285E9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57.60%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381A5B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42.00%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57DF51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0.40%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1EDA1F" w14:textId="77777777" w:rsidR="009212E6" w:rsidRPr="004612BA" w:rsidRDefault="009212E6" w:rsidP="001103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612BA">
              <w:rPr>
                <w:rFonts w:ascii="Arial" w:eastAsia="Times New Roman" w:hAnsi="Arial" w:cs="Arial"/>
                <w:b/>
                <w:bCs/>
                <w:color w:val="000000"/>
              </w:rPr>
              <w:t>100.00%</w:t>
            </w:r>
          </w:p>
        </w:tc>
      </w:tr>
    </w:tbl>
    <w:p w14:paraId="61FAD3AA" w14:textId="45855AB4" w:rsidR="001521AB" w:rsidRPr="004612BA" w:rsidRDefault="001521AB" w:rsidP="0011035D">
      <w:pPr>
        <w:rPr>
          <w:rFonts w:ascii="Arial" w:hAnsi="Arial" w:cs="Arial"/>
        </w:rPr>
      </w:pPr>
    </w:p>
    <w:p w14:paraId="27F588C1" w14:textId="440C608B" w:rsidR="0011035D" w:rsidRPr="004612BA" w:rsidRDefault="00E01D03" w:rsidP="0011035D">
      <w:pPr>
        <w:rPr>
          <w:rFonts w:ascii="Arial" w:hAnsi="Arial" w:cs="Arial"/>
        </w:rPr>
      </w:pPr>
      <w:r w:rsidRPr="004612BA">
        <w:rPr>
          <w:rFonts w:ascii="Arial" w:hAnsi="Arial" w:cs="Arial"/>
          <w:noProof/>
        </w:rPr>
        <w:drawing>
          <wp:inline distT="0" distB="0" distL="0" distR="0" wp14:anchorId="6DBC5D53" wp14:editId="26C350F6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95A" w14:textId="0EE9CA4D" w:rsidR="00F012AE" w:rsidRPr="004612BA" w:rsidRDefault="00767E07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>The numbers and the graph suggest that people from the same gender are related. 37 % of the data represents female to female relations and 21 % of the data represent male to male relations</w:t>
      </w:r>
      <w:r w:rsidR="007F2039">
        <w:rPr>
          <w:rFonts w:ascii="Arial" w:hAnsi="Arial" w:cs="Arial"/>
        </w:rPr>
        <w:t>.</w:t>
      </w:r>
    </w:p>
    <w:p w14:paraId="650164EA" w14:textId="77777777" w:rsidR="001D714F" w:rsidRPr="004612BA" w:rsidRDefault="001D714F" w:rsidP="0011035D">
      <w:pPr>
        <w:rPr>
          <w:rFonts w:ascii="Arial" w:hAnsi="Arial" w:cs="Arial"/>
        </w:rPr>
      </w:pPr>
    </w:p>
    <w:p w14:paraId="0E41C2B3" w14:textId="77777777" w:rsidR="001D714F" w:rsidRPr="004612BA" w:rsidRDefault="001D714F" w:rsidP="0011035D">
      <w:pPr>
        <w:rPr>
          <w:rFonts w:ascii="Arial" w:hAnsi="Arial" w:cs="Arial"/>
        </w:rPr>
      </w:pPr>
    </w:p>
    <w:p w14:paraId="4E7C2DE8" w14:textId="77777777" w:rsidR="00FD3FEB" w:rsidRDefault="00FD3FEB" w:rsidP="0011035D">
      <w:pPr>
        <w:rPr>
          <w:rFonts w:ascii="Arial" w:hAnsi="Arial" w:cs="Arial"/>
        </w:rPr>
      </w:pPr>
    </w:p>
    <w:p w14:paraId="3C245764" w14:textId="0C525B10" w:rsidR="001521AB" w:rsidRDefault="001521AB" w:rsidP="0011035D">
      <w:pPr>
        <w:rPr>
          <w:rFonts w:ascii="Arial" w:hAnsi="Arial" w:cs="Arial"/>
        </w:rPr>
      </w:pPr>
      <w:bookmarkStart w:id="0" w:name="_GoBack"/>
      <w:bookmarkEnd w:id="0"/>
      <w:r w:rsidRPr="004612BA">
        <w:rPr>
          <w:rFonts w:ascii="Arial" w:hAnsi="Arial" w:cs="Arial"/>
        </w:rPr>
        <w:lastRenderedPageBreak/>
        <w:t>Relationship between same Race: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840"/>
        <w:gridCol w:w="1720"/>
        <w:gridCol w:w="770"/>
        <w:gridCol w:w="988"/>
        <w:gridCol w:w="770"/>
        <w:gridCol w:w="882"/>
        <w:gridCol w:w="1180"/>
      </w:tblGrid>
      <w:tr w:rsidR="007F2039" w:rsidRPr="007F2039" w14:paraId="1A412B39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6F7CD8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sink_race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1547D4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1764A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D3F2C4" w14:textId="77777777" w:rsidR="007F2039" w:rsidRPr="007F2039" w:rsidRDefault="007F2039" w:rsidP="007F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1502AD" w14:textId="77777777" w:rsidR="007F2039" w:rsidRPr="007F2039" w:rsidRDefault="007F2039" w:rsidP="007F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146689" w14:textId="77777777" w:rsidR="007F2039" w:rsidRPr="007F2039" w:rsidRDefault="007F2039" w:rsidP="007F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AE7EBF" w14:textId="77777777" w:rsidR="007F2039" w:rsidRPr="007F2039" w:rsidRDefault="007F2039" w:rsidP="007F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2039" w:rsidRPr="007F2039" w14:paraId="16B2CBF5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3E845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92929B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Asian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F2198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88A387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Hispanic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64DAE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Other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EEBAB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White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3E8B2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7F2039" w:rsidRPr="007F2039" w14:paraId="403DF66D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40EE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DCE1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653A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3277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B9D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7D97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1.07%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F59A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1.28%</w:t>
            </w:r>
          </w:p>
        </w:tc>
      </w:tr>
      <w:tr w:rsidR="007F2039" w:rsidRPr="007F2039" w14:paraId="265C23B7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9981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9E8B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E23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F6F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98C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0.13%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39A2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1.57%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10D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1.77%</w:t>
            </w:r>
          </w:p>
        </w:tc>
      </w:tr>
      <w:tr w:rsidR="007F2039" w:rsidRPr="007F2039" w14:paraId="614BD00D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980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6B0F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E3D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43DC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34D3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0.24%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5DB2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2.37%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1D5F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2.79%</w:t>
            </w:r>
          </w:p>
        </w:tc>
      </w:tr>
      <w:tr w:rsidR="007F2039" w:rsidRPr="007F2039" w14:paraId="60471189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7D62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D957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B60C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0.13%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C339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0.24%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4BE1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0.56%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DF5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6.47%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D5F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7.55%</w:t>
            </w:r>
          </w:p>
        </w:tc>
      </w:tr>
      <w:tr w:rsidR="007F2039" w:rsidRPr="007F2039" w14:paraId="544ED1C0" w14:textId="77777777" w:rsidTr="007F20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A670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F38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1.07%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3A98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1.57%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521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2.37%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0765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6.47%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7AC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75.14%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6699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039">
              <w:rPr>
                <w:rFonts w:ascii="Calibri" w:eastAsia="Times New Roman" w:hAnsi="Calibri" w:cs="Calibri"/>
                <w:color w:val="000000"/>
              </w:rPr>
              <w:t>86.61%</w:t>
            </w:r>
          </w:p>
        </w:tc>
      </w:tr>
      <w:tr w:rsidR="007F2039" w:rsidRPr="007F2039" w14:paraId="77A6AC45" w14:textId="77777777" w:rsidTr="007F2039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D1883E" w14:textId="77777777" w:rsidR="007F2039" w:rsidRPr="007F2039" w:rsidRDefault="007F2039" w:rsidP="007F2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64960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1.28%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DC6CC6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1.77%</w:t>
            </w:r>
          </w:p>
        </w:tc>
        <w:tc>
          <w:tcPr>
            <w:tcW w:w="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45C6DD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2.79%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EAEB71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7.54%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574244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86.61%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95FA0D" w14:textId="77777777" w:rsidR="007F2039" w:rsidRPr="007F2039" w:rsidRDefault="007F2039" w:rsidP="007F2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039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563EF4D4" w14:textId="36CB7C1D" w:rsidR="0011035D" w:rsidRPr="004612BA" w:rsidRDefault="0011035D" w:rsidP="0011035D">
      <w:pPr>
        <w:rPr>
          <w:rFonts w:ascii="Arial" w:hAnsi="Arial" w:cs="Arial"/>
        </w:rPr>
      </w:pPr>
    </w:p>
    <w:p w14:paraId="08EA443E" w14:textId="3035108D" w:rsidR="006D5E28" w:rsidRPr="004612BA" w:rsidRDefault="00B90D4B" w:rsidP="001103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C8B122" wp14:editId="51FA9D07">
            <wp:extent cx="5943600" cy="3218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B26" w14:textId="6FDFD393" w:rsidR="00767E07" w:rsidRPr="004612BA" w:rsidRDefault="00767E07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>The above results</w:t>
      </w:r>
      <w:r w:rsidR="00347F17">
        <w:rPr>
          <w:rFonts w:ascii="Arial" w:hAnsi="Arial" w:cs="Arial"/>
        </w:rPr>
        <w:t xml:space="preserve"> </w:t>
      </w:r>
      <w:r w:rsidRPr="004612BA">
        <w:rPr>
          <w:rFonts w:ascii="Arial" w:hAnsi="Arial" w:cs="Arial"/>
        </w:rPr>
        <w:t xml:space="preserve">support the </w:t>
      </w:r>
      <w:r w:rsidR="00A6274C" w:rsidRPr="004612BA">
        <w:rPr>
          <w:rFonts w:ascii="Arial" w:hAnsi="Arial" w:cs="Arial"/>
        </w:rPr>
        <w:t>hypotheses</w:t>
      </w:r>
      <w:r w:rsidRPr="004612BA">
        <w:rPr>
          <w:rFonts w:ascii="Arial" w:hAnsi="Arial" w:cs="Arial"/>
        </w:rPr>
        <w:t xml:space="preserve"> of similar races to have more connections</w:t>
      </w:r>
      <w:r w:rsidR="00A6274C" w:rsidRPr="004612BA">
        <w:rPr>
          <w:rFonts w:ascii="Arial" w:hAnsi="Arial" w:cs="Arial"/>
        </w:rPr>
        <w:t xml:space="preserve">. </w:t>
      </w:r>
      <w:r w:rsidR="00347F17">
        <w:rPr>
          <w:rFonts w:ascii="Arial" w:hAnsi="Arial" w:cs="Arial"/>
        </w:rPr>
        <w:t xml:space="preserve">Around 20148 same race relations are observed which makes up 75 % of the data. </w:t>
      </w:r>
    </w:p>
    <w:p w14:paraId="66FE5050" w14:textId="77777777" w:rsidR="0011035D" w:rsidRPr="004612BA" w:rsidRDefault="0011035D" w:rsidP="0011035D">
      <w:pPr>
        <w:rPr>
          <w:rFonts w:ascii="Arial" w:hAnsi="Arial" w:cs="Arial"/>
        </w:rPr>
      </w:pPr>
    </w:p>
    <w:p w14:paraId="089A71CC" w14:textId="77777777" w:rsidR="001D714F" w:rsidRPr="004612BA" w:rsidRDefault="001D714F" w:rsidP="0011035D">
      <w:pPr>
        <w:rPr>
          <w:rFonts w:ascii="Arial" w:hAnsi="Arial" w:cs="Arial"/>
        </w:rPr>
      </w:pPr>
    </w:p>
    <w:p w14:paraId="797610EE" w14:textId="77777777" w:rsidR="001D714F" w:rsidRPr="004612BA" w:rsidRDefault="001D714F" w:rsidP="0011035D">
      <w:pPr>
        <w:rPr>
          <w:rFonts w:ascii="Arial" w:hAnsi="Arial" w:cs="Arial"/>
        </w:rPr>
      </w:pPr>
    </w:p>
    <w:p w14:paraId="2DDD2EB5" w14:textId="77777777" w:rsidR="001D714F" w:rsidRPr="004612BA" w:rsidRDefault="001D714F" w:rsidP="0011035D">
      <w:pPr>
        <w:rPr>
          <w:rFonts w:ascii="Arial" w:hAnsi="Arial" w:cs="Arial"/>
        </w:rPr>
      </w:pPr>
    </w:p>
    <w:p w14:paraId="578E9998" w14:textId="77777777" w:rsidR="003C1E66" w:rsidRDefault="003C1E66" w:rsidP="0011035D">
      <w:pPr>
        <w:rPr>
          <w:rFonts w:ascii="Arial" w:hAnsi="Arial" w:cs="Arial"/>
        </w:rPr>
      </w:pPr>
    </w:p>
    <w:p w14:paraId="70ABCE45" w14:textId="77777777" w:rsidR="003C1E66" w:rsidRDefault="003C1E66" w:rsidP="0011035D">
      <w:pPr>
        <w:rPr>
          <w:rFonts w:ascii="Arial" w:hAnsi="Arial" w:cs="Arial"/>
        </w:rPr>
      </w:pPr>
    </w:p>
    <w:p w14:paraId="30ED6891" w14:textId="1442EE0C" w:rsidR="001521AB" w:rsidRDefault="001521AB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lastRenderedPageBreak/>
        <w:t>Relationship between same Age: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80"/>
        <w:gridCol w:w="1720"/>
        <w:gridCol w:w="882"/>
        <w:gridCol w:w="882"/>
        <w:gridCol w:w="882"/>
        <w:gridCol w:w="770"/>
        <w:gridCol w:w="1180"/>
      </w:tblGrid>
      <w:tr w:rsidR="002C0FC3" w:rsidRPr="002C0FC3" w14:paraId="175EABC4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CAB43A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sink_age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70EE50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733359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85D7B0" w14:textId="77777777" w:rsidR="002C0FC3" w:rsidRPr="002C0FC3" w:rsidRDefault="002C0FC3" w:rsidP="002C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B06C88" w14:textId="77777777" w:rsidR="002C0FC3" w:rsidRPr="002C0FC3" w:rsidRDefault="002C0FC3" w:rsidP="002C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405EF8" w14:textId="77777777" w:rsidR="002C0FC3" w:rsidRPr="002C0FC3" w:rsidRDefault="002C0FC3" w:rsidP="002C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882776" w14:textId="77777777" w:rsidR="002C0FC3" w:rsidRPr="002C0FC3" w:rsidRDefault="002C0FC3" w:rsidP="002C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FC3" w:rsidRPr="002C0FC3" w14:paraId="56B05AAF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04623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BF6E95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0-19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1F0A5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20-39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9AB5A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40-59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AF8B7D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60-80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7148D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&gt;80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C2C68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2C0FC3" w:rsidRPr="002C0FC3" w14:paraId="7710BD42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E1A9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0-19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F46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BFE2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031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4A59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17D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9D3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</w:tr>
      <w:tr w:rsidR="002C0FC3" w:rsidRPr="002C0FC3" w14:paraId="27343B68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859C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20-39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9C99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54C6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6.80%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1CCE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11.09%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BB64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4.07%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B9C7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E7F4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22.23%</w:t>
            </w:r>
          </w:p>
        </w:tc>
      </w:tr>
      <w:tr w:rsidR="002C0FC3" w:rsidRPr="002C0FC3" w14:paraId="3C8EF8A3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CE5D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40-59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780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F871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11.09%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D0B5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29.32%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7870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12.26%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1B82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1442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53.37%</w:t>
            </w:r>
          </w:p>
        </w:tc>
      </w:tr>
      <w:tr w:rsidR="002C0FC3" w:rsidRPr="002C0FC3" w14:paraId="26745472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070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60-80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B54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BBE9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4.07%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9DA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12.26%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F35A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6.33%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A720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0.37%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51E4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23.03%</w:t>
            </w:r>
          </w:p>
        </w:tc>
      </w:tr>
      <w:tr w:rsidR="002C0FC3" w:rsidRPr="002C0FC3" w14:paraId="791B73D0" w14:textId="77777777" w:rsidTr="002C0FC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713B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&gt;80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B9C7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DCD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CE65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D6C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0.37%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55B5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D56C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0FC3">
              <w:rPr>
                <w:rFonts w:ascii="Calibri" w:eastAsia="Times New Roman" w:hAnsi="Calibri" w:cs="Calibri"/>
                <w:color w:val="000000"/>
              </w:rPr>
              <w:t>1.36%</w:t>
            </w:r>
          </w:p>
        </w:tc>
      </w:tr>
      <w:tr w:rsidR="002C0FC3" w:rsidRPr="002C0FC3" w14:paraId="46903417" w14:textId="77777777" w:rsidTr="002C0FC3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36DBC3" w14:textId="77777777" w:rsidR="002C0FC3" w:rsidRPr="002C0FC3" w:rsidRDefault="002C0FC3" w:rsidP="002C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99A294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0.01%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FEE055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22.23%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F0EB2D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53.37%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7B166E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23.03%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18682F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1.36%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618DF7" w14:textId="77777777" w:rsidR="002C0FC3" w:rsidRPr="002C0FC3" w:rsidRDefault="002C0FC3" w:rsidP="002C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FC3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66B30E1C" w14:textId="252B3DD5" w:rsidR="002C0FC3" w:rsidRDefault="002C0FC3" w:rsidP="0011035D">
      <w:pPr>
        <w:rPr>
          <w:rFonts w:ascii="Arial" w:hAnsi="Arial" w:cs="Arial"/>
        </w:rPr>
      </w:pPr>
    </w:p>
    <w:p w14:paraId="53744642" w14:textId="476934EB" w:rsidR="001521AB" w:rsidRPr="004612BA" w:rsidRDefault="002C0FC3" w:rsidP="001103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7F7F83" wp14:editId="604BA31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FBE86DE-F4C3-4F4C-86D7-29537A2EC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4077A9" w14:textId="4009B8BC" w:rsidR="00852BE4" w:rsidRDefault="00A6274C" w:rsidP="0011035D">
      <w:pPr>
        <w:rPr>
          <w:rFonts w:ascii="Arial" w:hAnsi="Arial" w:cs="Arial"/>
        </w:rPr>
      </w:pPr>
      <w:r w:rsidRPr="004612BA">
        <w:rPr>
          <w:rFonts w:ascii="Arial" w:hAnsi="Arial" w:cs="Arial"/>
        </w:rPr>
        <w:t>Out of the 5 groups</w:t>
      </w:r>
      <w:r w:rsidR="002F41F2" w:rsidRPr="004612BA">
        <w:rPr>
          <w:rFonts w:ascii="Arial" w:hAnsi="Arial" w:cs="Arial"/>
        </w:rPr>
        <w:t xml:space="preserve">, only one relation stands out. The group that represents individuals between </w:t>
      </w:r>
      <w:r w:rsidR="002C0FC3">
        <w:rPr>
          <w:rFonts w:ascii="Arial" w:hAnsi="Arial" w:cs="Arial"/>
        </w:rPr>
        <w:t>40</w:t>
      </w:r>
      <w:r w:rsidR="002F41F2" w:rsidRPr="004612BA">
        <w:rPr>
          <w:rFonts w:ascii="Arial" w:hAnsi="Arial" w:cs="Arial"/>
        </w:rPr>
        <w:t>-5</w:t>
      </w:r>
      <w:r w:rsidR="002C0FC3">
        <w:rPr>
          <w:rFonts w:ascii="Arial" w:hAnsi="Arial" w:cs="Arial"/>
        </w:rPr>
        <w:t>9</w:t>
      </w:r>
      <w:r w:rsidR="002F41F2" w:rsidRPr="004612BA">
        <w:rPr>
          <w:rFonts w:ascii="Arial" w:hAnsi="Arial" w:cs="Arial"/>
        </w:rPr>
        <w:t xml:space="preserve"> seem to be connected to individuals in the similar age range. </w:t>
      </w:r>
      <w:r w:rsidR="002C0FC3">
        <w:rPr>
          <w:rFonts w:ascii="Arial" w:hAnsi="Arial" w:cs="Arial"/>
        </w:rPr>
        <w:t>For age ranges 20-39 and 60-80 around 6 % of the records show relation between same ages respectively. So around 42 % of the data represents connection between similar age groups.</w:t>
      </w:r>
    </w:p>
    <w:p w14:paraId="2E235A35" w14:textId="27CC6433" w:rsidR="002C0FC3" w:rsidRPr="00FD3FEB" w:rsidRDefault="002C0FC3" w:rsidP="0011035D">
      <w:pPr>
        <w:rPr>
          <w:rFonts w:ascii="Arial" w:hAnsi="Arial" w:cs="Arial"/>
          <w:b/>
        </w:rPr>
      </w:pPr>
      <w:r w:rsidRPr="00FD3FEB">
        <w:rPr>
          <w:rFonts w:ascii="Arial" w:hAnsi="Arial" w:cs="Arial"/>
          <w:b/>
        </w:rPr>
        <w:t>Conclusion</w:t>
      </w:r>
    </w:p>
    <w:p w14:paraId="78C1E6DB" w14:textId="24730A86" w:rsidR="002C0FC3" w:rsidRPr="004612BA" w:rsidRDefault="002C0FC3" w:rsidP="0011035D">
      <w:pPr>
        <w:rPr>
          <w:rFonts w:ascii="Arial" w:hAnsi="Arial" w:cs="Arial"/>
        </w:rPr>
      </w:pPr>
      <w:r>
        <w:rPr>
          <w:rFonts w:ascii="Arial" w:hAnsi="Arial" w:cs="Arial"/>
        </w:rPr>
        <w:t>While relations between individuals of same race and gender seems strong we cannot say the same about the relation between people of the same age group.</w:t>
      </w:r>
    </w:p>
    <w:sectPr w:rsidR="002C0FC3" w:rsidRPr="0046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2B77"/>
    <w:multiLevelType w:val="multilevel"/>
    <w:tmpl w:val="FA6C9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F0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32"/>
    <w:rsid w:val="000044CB"/>
    <w:rsid w:val="00036649"/>
    <w:rsid w:val="00050933"/>
    <w:rsid w:val="000531D2"/>
    <w:rsid w:val="0011035D"/>
    <w:rsid w:val="00144D0D"/>
    <w:rsid w:val="001521AB"/>
    <w:rsid w:val="00155BDA"/>
    <w:rsid w:val="001C67A3"/>
    <w:rsid w:val="001D714F"/>
    <w:rsid w:val="002C0FC3"/>
    <w:rsid w:val="002F41F2"/>
    <w:rsid w:val="00347F17"/>
    <w:rsid w:val="00387779"/>
    <w:rsid w:val="003C1E66"/>
    <w:rsid w:val="003D7D74"/>
    <w:rsid w:val="004612BA"/>
    <w:rsid w:val="005A42DB"/>
    <w:rsid w:val="006D5E28"/>
    <w:rsid w:val="0072558D"/>
    <w:rsid w:val="00767E07"/>
    <w:rsid w:val="007F2039"/>
    <w:rsid w:val="00852BE4"/>
    <w:rsid w:val="0089039E"/>
    <w:rsid w:val="008C3F30"/>
    <w:rsid w:val="008F18CA"/>
    <w:rsid w:val="009212E6"/>
    <w:rsid w:val="009B1D56"/>
    <w:rsid w:val="00A320D2"/>
    <w:rsid w:val="00A6274C"/>
    <w:rsid w:val="00AC2CEC"/>
    <w:rsid w:val="00AD5E26"/>
    <w:rsid w:val="00B90D4B"/>
    <w:rsid w:val="00C80432"/>
    <w:rsid w:val="00D012EB"/>
    <w:rsid w:val="00D04836"/>
    <w:rsid w:val="00D2558F"/>
    <w:rsid w:val="00D37F8B"/>
    <w:rsid w:val="00E01D03"/>
    <w:rsid w:val="00F012AE"/>
    <w:rsid w:val="00F07C91"/>
    <w:rsid w:val="00F23C3F"/>
    <w:rsid w:val="00FD3FEB"/>
    <w:rsid w:val="00F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ADF2"/>
  <w15:chartTrackingRefBased/>
  <w15:docId w15:val="{5B885E2F-C961-45CA-A98C-ACD0B225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432"/>
  </w:style>
  <w:style w:type="paragraph" w:styleId="Heading1">
    <w:name w:val="heading 1"/>
    <w:basedOn w:val="Normal"/>
    <w:next w:val="Normal"/>
    <w:link w:val="Heading1Char"/>
    <w:uiPriority w:val="9"/>
    <w:qFormat/>
    <w:rsid w:val="00C80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4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4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32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432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432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32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32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32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32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432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0432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432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32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432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432"/>
    <w:rPr>
      <w:b/>
      <w:bCs/>
    </w:rPr>
  </w:style>
  <w:style w:type="character" w:styleId="Emphasis">
    <w:name w:val="Emphasis"/>
    <w:basedOn w:val="DefaultParagraphFont"/>
    <w:uiPriority w:val="20"/>
    <w:qFormat/>
    <w:rsid w:val="00C80432"/>
    <w:rPr>
      <w:i/>
      <w:iCs/>
    </w:rPr>
  </w:style>
  <w:style w:type="paragraph" w:styleId="NoSpacing">
    <w:name w:val="No Spacing"/>
    <w:uiPriority w:val="1"/>
    <w:qFormat/>
    <w:rsid w:val="00C80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4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4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32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32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C804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432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80432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432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4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432"/>
    <w:pPr>
      <w:outlineLvl w:val="9"/>
    </w:pPr>
  </w:style>
  <w:style w:type="paragraph" w:styleId="ListParagraph">
    <w:name w:val="List Paragraph"/>
    <w:basedOn w:val="Normal"/>
    <w:uiPriority w:val="34"/>
    <w:qFormat/>
    <w:rsid w:val="0015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vin\Desktop\Apple_cart\sample_graph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[sample_graph_data.csv]Sheet10!PivotTable10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Sheet10!$B$3:$B$4</c:f>
              <c:strCache>
                <c:ptCount val="1"/>
                <c:pt idx="0">
                  <c:v>0-19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0-19</c:v>
                </c:pt>
                <c:pt idx="1">
                  <c:v>20-39</c:v>
                </c:pt>
                <c:pt idx="2">
                  <c:v>40-59</c:v>
                </c:pt>
                <c:pt idx="3">
                  <c:v>60-80</c:v>
                </c:pt>
                <c:pt idx="4">
                  <c:v>&gt;80</c:v>
                </c:pt>
              </c:strCache>
            </c:strRef>
          </c:cat>
          <c:val>
            <c:numRef>
              <c:f>Sheet10!$B$5:$B$10</c:f>
              <c:numCache>
                <c:formatCode>0.00%</c:formatCode>
                <c:ptCount val="5"/>
                <c:pt idx="0">
                  <c:v>0</c:v>
                </c:pt>
                <c:pt idx="1">
                  <c:v>2.9379792578664396E-5</c:v>
                </c:pt>
                <c:pt idx="2">
                  <c:v>5.8759585157328792E-5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4-4E57-8B9B-64A9F2FF1162}"/>
            </c:ext>
          </c:extLst>
        </c:ser>
        <c:ser>
          <c:idx val="1"/>
          <c:order val="1"/>
          <c:tx>
            <c:strRef>
              <c:f>Sheet10!$C$3:$C$4</c:f>
              <c:strCache>
                <c:ptCount val="1"/>
                <c:pt idx="0">
                  <c:v>20-39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0-19</c:v>
                </c:pt>
                <c:pt idx="1">
                  <c:v>20-39</c:v>
                </c:pt>
                <c:pt idx="2">
                  <c:v>40-59</c:v>
                </c:pt>
                <c:pt idx="3">
                  <c:v>60-80</c:v>
                </c:pt>
                <c:pt idx="4">
                  <c:v>&gt;80</c:v>
                </c:pt>
              </c:strCache>
            </c:strRef>
          </c:cat>
          <c:val>
            <c:numRef>
              <c:f>Sheet10!$C$5:$C$10</c:f>
              <c:numCache>
                <c:formatCode>0.00%</c:formatCode>
                <c:ptCount val="5"/>
                <c:pt idx="0">
                  <c:v>2.9379792578664396E-5</c:v>
                </c:pt>
                <c:pt idx="1">
                  <c:v>6.7984840027029411E-2</c:v>
                </c:pt>
                <c:pt idx="2">
                  <c:v>0.11093809677703675</c:v>
                </c:pt>
                <c:pt idx="3">
                  <c:v>4.0720392514028848E-2</c:v>
                </c:pt>
                <c:pt idx="4">
                  <c:v>2.5854217469224667E-3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E4-4E57-8B9B-64A9F2FF1162}"/>
            </c:ext>
          </c:extLst>
        </c:ser>
        <c:ser>
          <c:idx val="2"/>
          <c:order val="2"/>
          <c:tx>
            <c:strRef>
              <c:f>Sheet10!$D$3:$D$4</c:f>
              <c:strCache>
                <c:ptCount val="1"/>
                <c:pt idx="0">
                  <c:v>40-59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0-19</c:v>
                </c:pt>
                <c:pt idx="1">
                  <c:v>20-39</c:v>
                </c:pt>
                <c:pt idx="2">
                  <c:v>40-59</c:v>
                </c:pt>
                <c:pt idx="3">
                  <c:v>60-80</c:v>
                </c:pt>
                <c:pt idx="4">
                  <c:v>&gt;80</c:v>
                </c:pt>
              </c:strCache>
            </c:strRef>
          </c:cat>
          <c:val>
            <c:numRef>
              <c:f>Sheet10!$D$5:$D$10</c:f>
              <c:numCache>
                <c:formatCode>0.00%</c:formatCode>
                <c:ptCount val="5"/>
                <c:pt idx="0">
                  <c:v>5.8759585157328792E-5</c:v>
                </c:pt>
                <c:pt idx="1">
                  <c:v>0.11093809677703675</c:v>
                </c:pt>
                <c:pt idx="2">
                  <c:v>0.29315157034991335</c:v>
                </c:pt>
                <c:pt idx="3">
                  <c:v>0.12260187443076652</c:v>
                </c:pt>
                <c:pt idx="4">
                  <c:v>6.9923906337221262E-3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E4-4E57-8B9B-64A9F2FF1162}"/>
            </c:ext>
          </c:extLst>
        </c:ser>
        <c:ser>
          <c:idx val="3"/>
          <c:order val="3"/>
          <c:tx>
            <c:strRef>
              <c:f>Sheet10!$E$3:$E$4</c:f>
              <c:strCache>
                <c:ptCount val="1"/>
                <c:pt idx="0">
                  <c:v>60-80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0-19</c:v>
                </c:pt>
                <c:pt idx="1">
                  <c:v>20-39</c:v>
                </c:pt>
                <c:pt idx="2">
                  <c:v>40-59</c:v>
                </c:pt>
                <c:pt idx="3">
                  <c:v>60-80</c:v>
                </c:pt>
                <c:pt idx="4">
                  <c:v>&gt;80</c:v>
                </c:pt>
              </c:strCache>
            </c:strRef>
          </c:cat>
          <c:val>
            <c:numRef>
              <c:f>Sheet10!$E$5:$E$10</c:f>
              <c:numCache>
                <c:formatCode>0.00%</c:formatCode>
                <c:ptCount val="5"/>
                <c:pt idx="0">
                  <c:v>0</c:v>
                </c:pt>
                <c:pt idx="1">
                  <c:v>4.0720392514028848E-2</c:v>
                </c:pt>
                <c:pt idx="2">
                  <c:v>0.12257249463818785</c:v>
                </c:pt>
                <c:pt idx="3">
                  <c:v>6.3284073214443112E-2</c:v>
                </c:pt>
                <c:pt idx="4">
                  <c:v>3.7312336574903781E-3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E4-4E57-8B9B-64A9F2FF1162}"/>
            </c:ext>
          </c:extLst>
        </c:ser>
        <c:ser>
          <c:idx val="4"/>
          <c:order val="4"/>
          <c:tx>
            <c:strRef>
              <c:f>Sheet10!$F$3:$F$4</c:f>
              <c:strCache>
                <c:ptCount val="1"/>
                <c:pt idx="0">
                  <c:v>&gt;80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0-19</c:v>
                </c:pt>
                <c:pt idx="1">
                  <c:v>20-39</c:v>
                </c:pt>
                <c:pt idx="2">
                  <c:v>40-59</c:v>
                </c:pt>
                <c:pt idx="3">
                  <c:v>60-80</c:v>
                </c:pt>
                <c:pt idx="4">
                  <c:v>&gt;80</c:v>
                </c:pt>
              </c:strCache>
            </c:strRef>
          </c:cat>
          <c:val>
            <c:numRef>
              <c:f>Sheet10!$F$5:$F$10</c:f>
              <c:numCache>
                <c:formatCode>0.00%</c:formatCode>
                <c:ptCount val="5"/>
                <c:pt idx="0">
                  <c:v>0</c:v>
                </c:pt>
                <c:pt idx="1">
                  <c:v>2.5854217469224667E-3</c:v>
                </c:pt>
                <c:pt idx="2">
                  <c:v>6.9923906337221262E-3</c:v>
                </c:pt>
                <c:pt idx="3">
                  <c:v>3.7312336574903781E-3</c:v>
                </c:pt>
                <c:pt idx="4">
                  <c:v>2.9379792578664395E-4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8E4-4E57-8B9B-64A9F2FF1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6578384"/>
        <c:axId val="526580024"/>
      </c:barChart>
      <c:catAx>
        <c:axId val="52657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580024"/>
        <c:crosses val="autoZero"/>
        <c:auto val="1"/>
        <c:lblAlgn val="ctr"/>
        <c:lblOffset val="100"/>
        <c:noMultiLvlLbl val="0"/>
      </c:catAx>
      <c:valAx>
        <c:axId val="52658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57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Gaikwad</dc:creator>
  <cp:keywords/>
  <dc:description/>
  <cp:lastModifiedBy>Ravina Gaikwad</cp:lastModifiedBy>
  <cp:revision>15</cp:revision>
  <dcterms:created xsi:type="dcterms:W3CDTF">2018-01-27T18:07:00Z</dcterms:created>
  <dcterms:modified xsi:type="dcterms:W3CDTF">2018-01-30T20:32:00Z</dcterms:modified>
</cp:coreProperties>
</file>