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color w:val="12305A"/>
          <w:sz w:val="32"/>
        </w:rPr>
        <w:t>NEXORA TECHNOLOGIES PRIVATE LIMITED</w:t>
      </w:r>
    </w:p>
    <w:p>
      <w:pPr>
        <w:spacing w:after="20"/>
        <w:jc w:val="center"/>
      </w:pPr>
      <w:r>
        <w:rPr>
          <w:b w:val="0"/>
          <w:i w:val="0"/>
          <w:sz w:val="16"/>
        </w:rPr>
        <w:t>Nexora Tower, Plot 17, Sector 44, Gurugram, Haryana 122003  ·  CIN: U72200HR2011PTC043117</w:t>
      </w:r>
    </w:p>
    <w:p>
      <w:pPr>
        <w:spacing w:after="280"/>
        <w:jc w:val="center"/>
      </w:pPr>
      <w:r>
        <w:rPr>
          <w:b w:val="0"/>
          <w:i w:val="0"/>
          <w:sz w:val="16"/>
        </w:rPr>
        <w:t>Offices at Gurugram (HQ)  ·  Bengaluru  ·  Pune   |   www.nexoratech.in   |   +91 124 476 2100</w:t>
      </w:r>
    </w:p>
    <w:p>
      <w:pPr>
        <w:spacing w:after="40"/>
        <w:jc w:val="center"/>
      </w:pPr>
      <w:r>
        <w:rPr>
          <w:b/>
          <w:i w:val="0"/>
          <w:color w:val="A03030"/>
          <w:sz w:val="18"/>
        </w:rPr>
        <w:t>TEMPLATE — HR-TPL-014 v3.2 — LETTER OF APPOINTMENT (PERMANENT, INDIA)</w:t>
      </w:r>
    </w:p>
    <w:p>
      <w:pPr>
        <w:spacing w:after="280"/>
        <w:jc w:val="center"/>
      </w:pPr>
      <w:r>
        <w:rPr>
          <w:b w:val="0"/>
          <w:i/>
          <w:sz w:val="17"/>
        </w:rPr>
        <w:t>Merge fields are shown as {{FIELD_NAME}} and are populated from PeopleHub at generation. Do not edit the numbered clauses. Any deviation requires the written approval of the General Counsel and the CHRO, recorded on the requisition before the offer is released.</w:t>
      </w:r>
    </w:p>
    <w:p>
      <w:pPr>
        <w:spacing w:after="140"/>
      </w:pPr>
      <w:r>
        <w:rPr>
          <w:b w:val="0"/>
          <w:i w:val="0"/>
          <w:sz w:val="20"/>
        </w:rPr>
        <w:t>Ref: {{OFFER_REFERENCE}}</w:t>
      </w:r>
    </w:p>
    <w:p>
      <w:pPr>
        <w:spacing w:after="240"/>
      </w:pPr>
      <w:r>
        <w:rPr>
          <w:b w:val="0"/>
          <w:i w:val="0"/>
          <w:sz w:val="20"/>
        </w:rPr>
        <w:t>Date: {{OFFER_DATE}}</w:t>
      </w:r>
    </w:p>
    <w:p>
      <w:pPr>
        <w:spacing w:after="20"/>
      </w:pPr>
      <w:r>
        <w:rPr>
          <w:b/>
          <w:i w:val="0"/>
          <w:sz w:val="21"/>
        </w:rPr>
        <w:t>{{CANDIDATE_NAME}}</w:t>
      </w:r>
    </w:p>
    <w:p>
      <w:pPr>
        <w:spacing w:after="20"/>
      </w:pPr>
      <w:r>
        <w:rPr>
          <w:b w:val="0"/>
          <w:i w:val="0"/>
          <w:sz w:val="21"/>
        </w:rPr>
        <w:t>{{CANDIDATE_ADDRESS_LINE_1}}</w:t>
      </w:r>
    </w:p>
    <w:p>
      <w:pPr>
        <w:spacing w:after="20"/>
      </w:pPr>
      <w:r>
        <w:rPr>
          <w:b w:val="0"/>
          <w:i w:val="0"/>
          <w:sz w:val="21"/>
        </w:rPr>
        <w:t>{{CANDIDATE_ADDRESS_LINE_2}}</w:t>
      </w:r>
    </w:p>
    <w:p>
      <w:pPr>
        <w:spacing w:after="240"/>
      </w:pPr>
      <w:r>
        <w:rPr>
          <w:b w:val="0"/>
          <w:i w:val="0"/>
          <w:sz w:val="21"/>
        </w:rPr>
        <w:t>{{CANDIDATE_CITY}} — {{CANDIDATE_PINCODE}}</w:t>
      </w:r>
    </w:p>
    <w:p>
      <w:pPr>
        <w:spacing w:after="200"/>
      </w:pPr>
      <w:r>
        <w:rPr>
          <w:b w:val="0"/>
          <w:i w:val="0"/>
          <w:sz w:val="21"/>
        </w:rPr>
        <w:t>Dear {{CANDIDATE_FIRST_NAME}},</w:t>
      </w:r>
    </w:p>
    <w:p>
      <w:pPr>
        <w:spacing w:after="200"/>
      </w:pPr>
      <w:r>
        <w:rPr>
          <w:b/>
          <w:i w:val="0"/>
          <w:sz w:val="21"/>
        </w:rPr>
        <w:t>LETTER OF APPOINTMENT</w:t>
      </w:r>
    </w:p>
    <w:p>
      <w:pPr>
        <w:spacing w:after="140"/>
      </w:pPr>
      <w:r>
        <w:rPr>
          <w:b w:val="0"/>
          <w:i w:val="0"/>
          <w:sz w:val="21"/>
        </w:rPr>
        <w:t>With reference to your application and the discussions you have had with us, we are pleased to offer you employment with Nexora Technologies Private Limited on the terms set out below. This letter, together with its Annexures, constitutes the entire agreement between us in respect of your employment and supersedes all prior discussions, correspondence and representations, whether oral or written.</w:t>
      </w:r>
    </w:p>
    <w:p>
      <w:pPr>
        <w:spacing w:before="240" w:after="100"/>
      </w:pPr>
      <w:r>
        <w:rPr>
          <w:b/>
          <w:color w:val="12305A"/>
          <w:sz w:val="24"/>
        </w:rPr>
        <w:t>1. Position, Band and Location</w:t>
      </w:r>
    </w:p>
    <w:tbl>
      <w:tblPr>
        <w:tblStyle w:val="TableGrid"/>
        <w:tblW w:type="auto" w:w="0"/>
        <w:jc w:val="left"/>
        <w:tblLook w:firstColumn="1" w:firstRow="1" w:lastColumn="0" w:lastRow="0" w:noHBand="0" w:noVBand="1" w:val="04A0"/>
      </w:tblPr>
      <w:tblGrid>
        <w:gridCol w:w="4816"/>
        <w:gridCol w:w="4816"/>
      </w:tblGrid>
      <w:tr>
        <w:tc>
          <w:tcPr>
            <w:tcW w:type="dxa" w:w="2835"/>
            <w:shd w:val="clear" w:fill="E8EDF4"/>
          </w:tcPr>
          <w:p>
            <w:pPr>
              <w:spacing w:after="40"/>
            </w:pPr>
            <w:r/>
            <w:r>
              <w:rPr>
                <w:b/>
                <w:sz w:val="18"/>
              </w:rPr>
              <w:t>Item</w:t>
            </w:r>
          </w:p>
        </w:tc>
        <w:tc>
          <w:tcPr>
            <w:tcW w:type="dxa" w:w="6520"/>
            <w:shd w:val="clear" w:fill="E8EDF4"/>
          </w:tcPr>
          <w:p>
            <w:pPr>
              <w:spacing w:after="40"/>
            </w:pPr>
            <w:r/>
            <w:r>
              <w:rPr>
                <w:b/>
                <w:sz w:val="18"/>
              </w:rPr>
              <w:t>Detail</w:t>
            </w:r>
          </w:p>
        </w:tc>
      </w:tr>
      <w:tr>
        <w:tc>
          <w:tcPr>
            <w:tcW w:type="dxa" w:w="2835"/>
          </w:tcPr>
          <w:p>
            <w:pPr>
              <w:spacing w:after="40"/>
            </w:pPr>
            <w:r/>
            <w:r>
              <w:rPr>
                <w:sz w:val="18"/>
              </w:rPr>
              <w:t>Designation</w:t>
            </w:r>
          </w:p>
        </w:tc>
        <w:tc>
          <w:tcPr>
            <w:tcW w:type="dxa" w:w="6520"/>
          </w:tcPr>
          <w:p>
            <w:pPr>
              <w:spacing w:after="40"/>
            </w:pPr>
            <w:r/>
            <w:r>
              <w:rPr>
                <w:sz w:val="18"/>
              </w:rPr>
              <w:t>{{DESIGNATION}}</w:t>
            </w:r>
          </w:p>
        </w:tc>
      </w:tr>
      <w:tr>
        <w:tc>
          <w:tcPr>
            <w:tcW w:type="dxa" w:w="2835"/>
          </w:tcPr>
          <w:p>
            <w:pPr>
              <w:spacing w:after="40"/>
            </w:pPr>
            <w:r/>
            <w:r>
              <w:rPr>
                <w:sz w:val="18"/>
              </w:rPr>
              <w:t>Career band</w:t>
            </w:r>
          </w:p>
        </w:tc>
        <w:tc>
          <w:tcPr>
            <w:tcW w:type="dxa" w:w="6520"/>
          </w:tcPr>
          <w:p>
            <w:pPr>
              <w:spacing w:after="40"/>
            </w:pPr>
            <w:r/>
            <w:r>
              <w:rPr>
                <w:sz w:val="18"/>
              </w:rPr>
              <w:t>{{BAND}}</w:t>
            </w:r>
          </w:p>
        </w:tc>
      </w:tr>
      <w:tr>
        <w:tc>
          <w:tcPr>
            <w:tcW w:type="dxa" w:w="2835"/>
          </w:tcPr>
          <w:p>
            <w:pPr>
              <w:spacing w:after="40"/>
            </w:pPr>
            <w:r/>
            <w:r>
              <w:rPr>
                <w:sz w:val="18"/>
              </w:rPr>
              <w:t>Department</w:t>
            </w:r>
          </w:p>
        </w:tc>
        <w:tc>
          <w:tcPr>
            <w:tcW w:type="dxa" w:w="6520"/>
          </w:tcPr>
          <w:p>
            <w:pPr>
              <w:spacing w:after="40"/>
            </w:pPr>
            <w:r/>
            <w:r>
              <w:rPr>
                <w:sz w:val="18"/>
              </w:rPr>
              <w:t>{{DEPARTMENT}}</w:t>
            </w:r>
          </w:p>
        </w:tc>
      </w:tr>
      <w:tr>
        <w:tc>
          <w:tcPr>
            <w:tcW w:type="dxa" w:w="2835"/>
          </w:tcPr>
          <w:p>
            <w:pPr>
              <w:spacing w:after="40"/>
            </w:pPr>
            <w:r/>
            <w:r>
              <w:rPr>
                <w:sz w:val="18"/>
              </w:rPr>
              <w:t>Practice</w:t>
            </w:r>
          </w:p>
        </w:tc>
        <w:tc>
          <w:tcPr>
            <w:tcW w:type="dxa" w:w="6520"/>
          </w:tcPr>
          <w:p>
            <w:pPr>
              <w:spacing w:after="40"/>
            </w:pPr>
            <w:r/>
            <w:r>
              <w:rPr>
                <w:sz w:val="18"/>
              </w:rPr>
              <w:t>{{PRACTICE}}</w:t>
            </w:r>
          </w:p>
        </w:tc>
      </w:tr>
      <w:tr>
        <w:tc>
          <w:tcPr>
            <w:tcW w:type="dxa" w:w="2835"/>
          </w:tcPr>
          <w:p>
            <w:pPr>
              <w:spacing w:after="40"/>
            </w:pPr>
            <w:r/>
            <w:r>
              <w:rPr>
                <w:sz w:val="18"/>
              </w:rPr>
              <w:t>Base location</w:t>
            </w:r>
          </w:p>
        </w:tc>
        <w:tc>
          <w:tcPr>
            <w:tcW w:type="dxa" w:w="6520"/>
          </w:tcPr>
          <w:p>
            <w:pPr>
              <w:spacing w:after="40"/>
            </w:pPr>
            <w:r/>
            <w:r>
              <w:rPr>
                <w:sz w:val="18"/>
              </w:rPr>
              <w:t>{{LOCATION}}</w:t>
            </w:r>
          </w:p>
        </w:tc>
      </w:tr>
      <w:tr>
        <w:tc>
          <w:tcPr>
            <w:tcW w:type="dxa" w:w="2835"/>
          </w:tcPr>
          <w:p>
            <w:pPr>
              <w:spacing w:after="40"/>
            </w:pPr>
            <w:r/>
            <w:r>
              <w:rPr>
                <w:sz w:val="18"/>
              </w:rPr>
              <w:t>Reporting to</w:t>
            </w:r>
          </w:p>
        </w:tc>
        <w:tc>
          <w:tcPr>
            <w:tcW w:type="dxa" w:w="6520"/>
          </w:tcPr>
          <w:p>
            <w:pPr>
              <w:spacing w:after="40"/>
            </w:pPr>
            <w:r/>
            <w:r>
              <w:rPr>
                <w:sz w:val="18"/>
              </w:rPr>
              <w:t>{{MANAGER_NAME}}, {{MANAGER_DESIGNATION}}</w:t>
            </w:r>
          </w:p>
        </w:tc>
      </w:tr>
      <w:tr>
        <w:tc>
          <w:tcPr>
            <w:tcW w:type="dxa" w:w="2835"/>
          </w:tcPr>
          <w:p>
            <w:pPr>
              <w:spacing w:after="40"/>
            </w:pPr>
            <w:r/>
            <w:r>
              <w:rPr>
                <w:sz w:val="18"/>
              </w:rPr>
              <w:t>Date of joining</w:t>
            </w:r>
          </w:p>
        </w:tc>
        <w:tc>
          <w:tcPr>
            <w:tcW w:type="dxa" w:w="6520"/>
          </w:tcPr>
          <w:p>
            <w:pPr>
              <w:spacing w:after="40"/>
            </w:pPr>
            <w:r/>
            <w:r>
              <w:rPr>
                <w:sz w:val="18"/>
              </w:rPr>
              <w:t>{{DATE_OF_JOINING}}</w:t>
            </w:r>
          </w:p>
        </w:tc>
      </w:tr>
      <w:tr>
        <w:tc>
          <w:tcPr>
            <w:tcW w:type="dxa" w:w="2835"/>
          </w:tcPr>
          <w:p>
            <w:pPr>
              <w:spacing w:after="40"/>
            </w:pPr>
            <w:r/>
            <w:r>
              <w:rPr>
                <w:sz w:val="18"/>
              </w:rPr>
              <w:t>Employment type</w:t>
            </w:r>
          </w:p>
        </w:tc>
        <w:tc>
          <w:tcPr>
            <w:tcW w:type="dxa" w:w="6520"/>
          </w:tcPr>
          <w:p>
            <w:pPr>
              <w:spacing w:after="40"/>
            </w:pPr>
            <w:r/>
            <w:r>
              <w:rPr>
                <w:sz w:val="18"/>
              </w:rPr>
              <w:t>Permanent, full time</w:t>
            </w:r>
          </w:p>
        </w:tc>
      </w:tr>
      <w:tr>
        <w:tc>
          <w:tcPr>
            <w:tcW w:type="dxa" w:w="2835"/>
          </w:tcPr>
          <w:p>
            <w:pPr>
              <w:spacing w:after="40"/>
            </w:pPr>
            <w:r/>
            <w:r>
              <w:rPr>
                <w:sz w:val="18"/>
              </w:rPr>
              <w:t>Workplace designation</w:t>
            </w:r>
          </w:p>
        </w:tc>
        <w:tc>
          <w:tcPr>
            <w:tcW w:type="dxa" w:w="6520"/>
          </w:tcPr>
          <w:p>
            <w:pPr>
              <w:spacing w:after="40"/>
            </w:pPr>
            <w:r/>
            <w:r>
              <w:rPr>
                <w:sz w:val="18"/>
              </w:rPr>
              <w:t>{{WORKPLACE_DESIGNATION}} (Site-Anchored / Hybrid / Fully Remote)</w:t>
            </w:r>
          </w:p>
        </w:tc>
      </w:tr>
    </w:tbl>
    <w:p>
      <w:pPr>
        <w:spacing w:after="80"/>
      </w:pPr>
      <w:r>
        <w:rPr>
          <w:b w:val="0"/>
          <w:i w:val="0"/>
          <w:sz w:val="21"/>
        </w:rPr>
        <w:t>Your base location is stated above. The Company may, at its discretion and on reasonable notice, transfer or depute you to any of its offices, to any group entity, or to any client site in India or abroad, in a role consistent with your band and skills.</w:t>
      </w:r>
    </w:p>
    <w:p>
      <w:pPr>
        <w:spacing w:before="240" w:after="100"/>
      </w:pPr>
      <w:r>
        <w:rPr>
          <w:b/>
          <w:color w:val="12305A"/>
          <w:sz w:val="24"/>
        </w:rPr>
        <w:t>2. Commencement, Documents and Background Verification</w:t>
      </w:r>
    </w:p>
    <w:p>
      <w:pPr>
        <w:spacing w:after="140"/>
      </w:pPr>
      <w:r>
        <w:rPr>
          <w:b w:val="0"/>
          <w:i w:val="0"/>
          <w:sz w:val="21"/>
        </w:rPr>
        <w:t>2.1  Your employment commences on {{DATE_OF_JOINING}}. If you do not report for duty on that date, or on any deferred date agreed in writing, this offer lapses automatically without further notice.</w:t>
      </w:r>
    </w:p>
    <w:p>
      <w:pPr>
        <w:spacing w:after="140"/>
      </w:pPr>
      <w:r>
        <w:rPr>
          <w:b w:val="0"/>
          <w:i w:val="0"/>
          <w:sz w:val="21"/>
        </w:rPr>
        <w:t>2.2  This offer is conditional upon (a) your submission of all documents listed in Annexure C; (b) the satisfactory completion of background verification conducted by our screening partner; and (c) your being free of any subsisting obligation to a former employer that would restrict your employment with us.</w:t>
      </w:r>
    </w:p>
    <w:p>
      <w:pPr>
        <w:spacing w:after="140"/>
      </w:pPr>
      <w:r>
        <w:rPr>
          <w:b w:val="0"/>
          <w:i w:val="0"/>
          <w:sz w:val="21"/>
        </w:rPr>
        <w:t>2.3  You confirm that all information supplied by you during the selection process is true and complete. Any misrepresentation, or the withholding of material information, entitles the Company to withdraw this offer or, if you have already joined, to terminate your services with immediate effect and without notice or notice pay.</w:t>
      </w:r>
    </w:p>
    <w:p>
      <w:pPr>
        <w:spacing w:after="140"/>
      </w:pPr>
      <w:r>
        <w:rPr>
          <w:b w:val="0"/>
          <w:i w:val="0"/>
          <w:sz w:val="21"/>
        </w:rPr>
        <w:t>2.4  You must submit the relieving letter and the final salary slip from your most recent employer within thirty (30) days of joining. Where these are not produced within ninety (90) days, the Company is entitled to treat the background verification as having returned an adverse finding.</w:t>
      </w:r>
    </w:p>
    <w:p>
      <w:pPr>
        <w:spacing w:before="240" w:after="100"/>
      </w:pPr>
      <w:r>
        <w:rPr>
          <w:b/>
          <w:color w:val="12305A"/>
          <w:sz w:val="24"/>
        </w:rPr>
        <w:t>3. Probation and Confirmation</w:t>
      </w:r>
    </w:p>
    <w:p>
      <w:pPr>
        <w:spacing w:after="140"/>
      </w:pPr>
      <w:r>
        <w:rPr>
          <w:b w:val="0"/>
          <w:i w:val="0"/>
          <w:sz w:val="21"/>
        </w:rPr>
        <w:t>3.1  You will be on probation for a period of six (6) months from the date of joining. The Company may extend the probation once, by up to three (3) months, by written notice.</w:t>
      </w:r>
    </w:p>
    <w:p>
      <w:pPr>
        <w:spacing w:after="140"/>
      </w:pPr>
      <w:r>
        <w:rPr>
          <w:b w:val="0"/>
          <w:i w:val="0"/>
          <w:sz w:val="21"/>
        </w:rPr>
        <w:t>3.2  During probation, either party may terminate this engagement by giving thirty (30) calendar days' written notice, or salary in lieu of notice.</w:t>
      </w:r>
    </w:p>
    <w:p>
      <w:pPr>
        <w:spacing w:after="140"/>
      </w:pPr>
      <w:r>
        <w:rPr>
          <w:b w:val="0"/>
          <w:i w:val="0"/>
          <w:sz w:val="21"/>
        </w:rPr>
        <w:t>3.3  Confirmation is not automatic and follows a documented review at month three and month six. Where no decision is communicated within thirty (30) days of the completion of probation, you will be deemed confirmed with effect from the date of completion.</w:t>
      </w:r>
    </w:p>
    <w:p>
      <w:pPr>
        <w:spacing w:before="240" w:after="100"/>
      </w:pPr>
      <w:r>
        <w:rPr>
          <w:b/>
          <w:color w:val="12305A"/>
          <w:sz w:val="24"/>
        </w:rPr>
        <w:t>4. Compensation</w:t>
      </w:r>
    </w:p>
    <w:p>
      <w:pPr>
        <w:spacing w:after="140"/>
      </w:pPr>
      <w:r>
        <w:rPr>
          <w:b w:val="0"/>
          <w:i w:val="0"/>
          <w:sz w:val="21"/>
        </w:rPr>
        <w:t>4.1  Your annual Cost to Company (CTC) is INR {{ANNUAL_CTC}} ({{ANNUAL_CTC_WORDS}} only). The detailed break-up is at Annexure A.</w:t>
      </w:r>
    </w:p>
    <w:p>
      <w:pPr>
        <w:spacing w:after="140"/>
      </w:pPr>
      <w:r>
        <w:rPr>
          <w:b w:val="0"/>
          <w:i w:val="0"/>
          <w:sz w:val="21"/>
        </w:rPr>
        <w:t>4.2  CTC comprises Fixed Pay, Variable Pay and Retirals. It is not your take-home pay. Salary is credited on the last working day of each calendar month, subject to statutory deductions and to any deduction authorised by you or permitted by law.</w:t>
      </w:r>
    </w:p>
    <w:p>
      <w:pPr>
        <w:spacing w:after="140"/>
      </w:pPr>
      <w:r>
        <w:rPr>
          <w:b w:val="0"/>
          <w:i w:val="0"/>
          <w:sz w:val="21"/>
        </w:rPr>
        <w:t>4.3  Variable Pay of {{VARIABLE_PCT}}% of CTC is payable annually with the June payroll, and is a function of Company performance, business unit performance and your individual performance rating. It is discretionary; payment in one year creates no entitlement in any subsequent year. You will not be eligible where you have resigned, or are serving notice, on the date of disbursement.</w:t>
      </w:r>
    </w:p>
    <w:p>
      <w:pPr>
        <w:spacing w:after="140"/>
      </w:pPr>
      <w:r>
        <w:rPr>
          <w:b w:val="0"/>
          <w:i w:val="0"/>
          <w:sz w:val="21"/>
        </w:rPr>
        <w:t>4.4  Your compensation is reviewed annually with effect from 1 July, based on the performance rating for the year ended 31 March. A review does not guarantee an increase.</w:t>
      </w:r>
    </w:p>
    <w:p>
      <w:pPr>
        <w:spacing w:after="140"/>
      </w:pPr>
      <w:r>
        <w:rPr>
          <w:b w:val="0"/>
          <w:i w:val="0"/>
          <w:sz w:val="21"/>
        </w:rPr>
        <w:t>4.5  {{JOINING_BONUS_CLAUSE}}</w:t>
      </w:r>
    </w:p>
    <w:p>
      <w:pPr>
        <w:spacing w:after="140"/>
      </w:pPr>
      <w:r>
        <w:rPr>
          <w:b w:val="0"/>
          <w:i w:val="0"/>
          <w:sz w:val="21"/>
        </w:rPr>
        <w:t>4.6  Your compensation is personal and confidential to you. You are free to discuss your own compensation; you may not disclose the compensation of any other employee that comes to your knowledge in the course of your duties.</w:t>
      </w:r>
    </w:p>
    <w:p>
      <w:pPr>
        <w:spacing w:before="240" w:after="100"/>
      </w:pPr>
      <w:r>
        <w:rPr>
          <w:b/>
          <w:color w:val="12305A"/>
          <w:sz w:val="24"/>
        </w:rPr>
        <w:t>5. Working Hours and Attendance</w:t>
      </w:r>
    </w:p>
    <w:p>
      <w:pPr>
        <w:spacing w:after="140"/>
      </w:pPr>
      <w:r>
        <w:rPr>
          <w:b w:val="0"/>
          <w:i w:val="0"/>
          <w:sz w:val="21"/>
        </w:rPr>
        <w:t>5.1  The standard work week is Monday to Friday, nine (9) hours per day inclusive of a sixty (60) minute meal break. You may start work at any time between 08:00 and 11:00 IST and must be available during core hours of 11:00 to 17:00 IST.</w:t>
      </w:r>
    </w:p>
    <w:p>
      <w:pPr>
        <w:spacing w:after="140"/>
      </w:pPr>
      <w:r>
        <w:rPr>
          <w:b w:val="0"/>
          <w:i w:val="0"/>
          <w:sz w:val="21"/>
        </w:rPr>
        <w:t>5.2  You may be required to work in shifts, on an on-call roster, or to a different weekly pattern where the client engagement requires it. Shift and on-call allowances are payable in accordance with the Compensation, Benefits and Payroll Policy.</w:t>
      </w:r>
    </w:p>
    <w:p>
      <w:pPr>
        <w:spacing w:after="140"/>
      </w:pPr>
      <w:r>
        <w:rPr>
          <w:b w:val="0"/>
          <w:i w:val="0"/>
          <w:sz w:val="21"/>
        </w:rPr>
        <w:t>5.3  Attendance is recorded by access-card swipe and by check-in on PeopleHub. You are responsible for the accuracy of your own attendance record.</w:t>
      </w:r>
    </w:p>
    <w:p>
      <w:pPr>
        <w:spacing w:before="240" w:after="100"/>
      </w:pPr>
      <w:r>
        <w:rPr>
          <w:b/>
          <w:color w:val="12305A"/>
          <w:sz w:val="24"/>
        </w:rPr>
        <w:t>6. Leave</w:t>
      </w:r>
    </w:p>
    <w:p>
      <w:pPr>
        <w:spacing w:after="140"/>
      </w:pPr>
      <w:r>
        <w:rPr>
          <w:b w:val="0"/>
          <w:i w:val="0"/>
          <w:sz w:val="21"/>
        </w:rPr>
        <w:t>6.1  You are entitled to leave in accordance with the Leave and Attendance Policy (HR-POL-004) as amended from time to time. As at the date of this letter the entitlement for a confirmed employee is:</w:t>
      </w:r>
    </w:p>
    <w:tbl>
      <w:tblPr>
        <w:tblStyle w:val="TableGrid"/>
        <w:tblW w:type="auto" w:w="0"/>
        <w:jc w:val="left"/>
        <w:tblLook w:firstColumn="1" w:firstRow="1" w:lastColumn="0" w:lastRow="0" w:noHBand="0" w:noVBand="1" w:val="04A0"/>
      </w:tblPr>
      <w:tblGrid>
        <w:gridCol w:w="2408"/>
        <w:gridCol w:w="2408"/>
        <w:gridCol w:w="2408"/>
        <w:gridCol w:w="2408"/>
      </w:tblGrid>
      <w:tr>
        <w:tc>
          <w:tcPr>
            <w:tcW w:type="dxa" w:w="2381"/>
            <w:shd w:val="clear" w:fill="E8EDF4"/>
          </w:tcPr>
          <w:p>
            <w:pPr>
              <w:spacing w:after="40"/>
            </w:pPr>
            <w:r/>
            <w:r>
              <w:rPr>
                <w:b/>
                <w:sz w:val="18"/>
              </w:rPr>
              <w:t>Leave type</w:t>
            </w:r>
          </w:p>
        </w:tc>
        <w:tc>
          <w:tcPr>
            <w:tcW w:type="dxa" w:w="3061"/>
            <w:shd w:val="clear" w:fill="E8EDF4"/>
          </w:tcPr>
          <w:p>
            <w:pPr>
              <w:spacing w:after="40"/>
            </w:pPr>
            <w:r/>
            <w:r>
              <w:rPr>
                <w:b/>
                <w:sz w:val="18"/>
              </w:rPr>
              <w:t>Annual entitlement</w:t>
            </w:r>
          </w:p>
        </w:tc>
        <w:tc>
          <w:tcPr>
            <w:tcW w:type="dxa" w:w="1928"/>
            <w:shd w:val="clear" w:fill="E8EDF4"/>
          </w:tcPr>
          <w:p>
            <w:pPr>
              <w:spacing w:after="40"/>
            </w:pPr>
            <w:r/>
            <w:r>
              <w:rPr>
                <w:b/>
                <w:sz w:val="18"/>
              </w:rPr>
              <w:t>Carry forward</w:t>
            </w:r>
          </w:p>
        </w:tc>
        <w:tc>
          <w:tcPr>
            <w:tcW w:type="dxa" w:w="1984"/>
            <w:shd w:val="clear" w:fill="E8EDF4"/>
          </w:tcPr>
          <w:p>
            <w:pPr>
              <w:spacing w:after="40"/>
            </w:pPr>
            <w:r/>
            <w:r>
              <w:rPr>
                <w:b/>
                <w:sz w:val="18"/>
              </w:rPr>
              <w:t>Encashable</w:t>
            </w:r>
          </w:p>
        </w:tc>
      </w:tr>
      <w:tr>
        <w:tc>
          <w:tcPr>
            <w:tcW w:type="dxa" w:w="2381"/>
          </w:tcPr>
          <w:p>
            <w:pPr>
              <w:spacing w:after="40"/>
            </w:pPr>
            <w:r/>
            <w:r>
              <w:rPr>
                <w:sz w:val="18"/>
              </w:rPr>
              <w:t>Casual Leave</w:t>
            </w:r>
          </w:p>
        </w:tc>
        <w:tc>
          <w:tcPr>
            <w:tcW w:type="dxa" w:w="3061"/>
          </w:tcPr>
          <w:p>
            <w:pPr>
              <w:spacing w:after="40"/>
            </w:pPr>
            <w:r/>
            <w:r>
              <w:rPr>
                <w:sz w:val="18"/>
              </w:rPr>
              <w:t>12 days</w:t>
            </w:r>
          </w:p>
        </w:tc>
        <w:tc>
          <w:tcPr>
            <w:tcW w:type="dxa" w:w="1928"/>
          </w:tcPr>
          <w:p>
            <w:pPr>
              <w:spacing w:after="40"/>
            </w:pPr>
            <w:r/>
            <w:r>
              <w:rPr>
                <w:sz w:val="18"/>
              </w:rPr>
              <w:t>No</w:t>
            </w:r>
          </w:p>
        </w:tc>
        <w:tc>
          <w:tcPr>
            <w:tcW w:type="dxa" w:w="1984"/>
          </w:tcPr>
          <w:p>
            <w:pPr>
              <w:spacing w:after="40"/>
            </w:pPr>
            <w:r/>
            <w:r>
              <w:rPr>
                <w:sz w:val="18"/>
              </w:rPr>
              <w:t>No</w:t>
            </w:r>
          </w:p>
        </w:tc>
      </w:tr>
      <w:tr>
        <w:tc>
          <w:tcPr>
            <w:tcW w:type="dxa" w:w="2381"/>
          </w:tcPr>
          <w:p>
            <w:pPr>
              <w:spacing w:after="40"/>
            </w:pPr>
            <w:r/>
            <w:r>
              <w:rPr>
                <w:sz w:val="18"/>
              </w:rPr>
              <w:t>Sick Leave</w:t>
            </w:r>
          </w:p>
        </w:tc>
        <w:tc>
          <w:tcPr>
            <w:tcW w:type="dxa" w:w="3061"/>
          </w:tcPr>
          <w:p>
            <w:pPr>
              <w:spacing w:after="40"/>
            </w:pPr>
            <w:r/>
            <w:r>
              <w:rPr>
                <w:sz w:val="18"/>
              </w:rPr>
              <w:t>12 days</w:t>
            </w:r>
          </w:p>
        </w:tc>
        <w:tc>
          <w:tcPr>
            <w:tcW w:type="dxa" w:w="1928"/>
          </w:tcPr>
          <w:p>
            <w:pPr>
              <w:spacing w:after="40"/>
            </w:pPr>
            <w:r/>
            <w:r>
              <w:rPr>
                <w:sz w:val="18"/>
              </w:rPr>
              <w:t>No</w:t>
            </w:r>
          </w:p>
        </w:tc>
        <w:tc>
          <w:tcPr>
            <w:tcW w:type="dxa" w:w="1984"/>
          </w:tcPr>
          <w:p>
            <w:pPr>
              <w:spacing w:after="40"/>
            </w:pPr>
            <w:r/>
            <w:r>
              <w:rPr>
                <w:sz w:val="18"/>
              </w:rPr>
              <w:t>No</w:t>
            </w:r>
          </w:p>
        </w:tc>
      </w:tr>
      <w:tr>
        <w:tc>
          <w:tcPr>
            <w:tcW w:type="dxa" w:w="2381"/>
          </w:tcPr>
          <w:p>
            <w:pPr>
              <w:spacing w:after="40"/>
            </w:pPr>
            <w:r/>
            <w:r>
              <w:rPr>
                <w:sz w:val="18"/>
              </w:rPr>
              <w:t>Earned Leave</w:t>
            </w:r>
          </w:p>
        </w:tc>
        <w:tc>
          <w:tcPr>
            <w:tcW w:type="dxa" w:w="3061"/>
          </w:tcPr>
          <w:p>
            <w:pPr>
              <w:spacing w:after="40"/>
            </w:pPr>
            <w:r/>
            <w:r>
              <w:rPr>
                <w:sz w:val="18"/>
              </w:rPr>
              <w:t>18 days</w:t>
            </w:r>
          </w:p>
        </w:tc>
        <w:tc>
          <w:tcPr>
            <w:tcW w:type="dxa" w:w="1928"/>
          </w:tcPr>
          <w:p>
            <w:pPr>
              <w:spacing w:after="40"/>
            </w:pPr>
            <w:r/>
            <w:r>
              <w:rPr>
                <w:sz w:val="18"/>
              </w:rPr>
              <w:t>Up to 30 days</w:t>
            </w:r>
          </w:p>
        </w:tc>
        <w:tc>
          <w:tcPr>
            <w:tcW w:type="dxa" w:w="1984"/>
          </w:tcPr>
          <w:p>
            <w:pPr>
              <w:spacing w:after="40"/>
            </w:pPr>
            <w:r/>
            <w:r>
              <w:rPr>
                <w:sz w:val="18"/>
              </w:rPr>
              <w:t>Yes, up to 30 days</w:t>
            </w:r>
          </w:p>
        </w:tc>
      </w:tr>
      <w:tr>
        <w:tc>
          <w:tcPr>
            <w:tcW w:type="dxa" w:w="2381"/>
          </w:tcPr>
          <w:p>
            <w:pPr>
              <w:spacing w:after="40"/>
            </w:pPr>
            <w:r/>
            <w:r>
              <w:rPr>
                <w:sz w:val="18"/>
              </w:rPr>
              <w:t>Maternity Leave</w:t>
            </w:r>
          </w:p>
        </w:tc>
        <w:tc>
          <w:tcPr>
            <w:tcW w:type="dxa" w:w="3061"/>
          </w:tcPr>
          <w:p>
            <w:pPr>
              <w:spacing w:after="40"/>
            </w:pPr>
            <w:r/>
            <w:r>
              <w:rPr>
                <w:sz w:val="18"/>
              </w:rPr>
              <w:t>26 weeks (first two children)</w:t>
            </w:r>
          </w:p>
        </w:tc>
        <w:tc>
          <w:tcPr>
            <w:tcW w:type="dxa" w:w="1928"/>
          </w:tcPr>
          <w:p>
            <w:pPr>
              <w:spacing w:after="40"/>
            </w:pPr>
            <w:r/>
            <w:r>
              <w:rPr>
                <w:sz w:val="18"/>
              </w:rPr>
              <w:t>Not applicable</w:t>
            </w:r>
          </w:p>
        </w:tc>
        <w:tc>
          <w:tcPr>
            <w:tcW w:type="dxa" w:w="1984"/>
          </w:tcPr>
          <w:p>
            <w:pPr>
              <w:spacing w:after="40"/>
            </w:pPr>
            <w:r/>
            <w:r>
              <w:rPr>
                <w:sz w:val="18"/>
              </w:rPr>
              <w:t>Not applicable</w:t>
            </w:r>
          </w:p>
        </w:tc>
      </w:tr>
      <w:tr>
        <w:tc>
          <w:tcPr>
            <w:tcW w:type="dxa" w:w="2381"/>
          </w:tcPr>
          <w:p>
            <w:pPr>
              <w:spacing w:after="40"/>
            </w:pPr>
            <w:r/>
            <w:r>
              <w:rPr>
                <w:sz w:val="18"/>
              </w:rPr>
              <w:t>Paternity Leave</w:t>
            </w:r>
          </w:p>
        </w:tc>
        <w:tc>
          <w:tcPr>
            <w:tcW w:type="dxa" w:w="3061"/>
          </w:tcPr>
          <w:p>
            <w:pPr>
              <w:spacing w:after="40"/>
            </w:pPr>
            <w:r/>
            <w:r>
              <w:rPr>
                <w:sz w:val="18"/>
              </w:rPr>
              <w:t>10 working days</w:t>
            </w:r>
          </w:p>
        </w:tc>
        <w:tc>
          <w:tcPr>
            <w:tcW w:type="dxa" w:w="1928"/>
          </w:tcPr>
          <w:p>
            <w:pPr>
              <w:spacing w:after="40"/>
            </w:pPr>
            <w:r/>
            <w:r>
              <w:rPr>
                <w:sz w:val="18"/>
              </w:rPr>
              <w:t>Not applicable</w:t>
            </w:r>
          </w:p>
        </w:tc>
        <w:tc>
          <w:tcPr>
            <w:tcW w:type="dxa" w:w="1984"/>
          </w:tcPr>
          <w:p>
            <w:pPr>
              <w:spacing w:after="40"/>
            </w:pPr>
            <w:r/>
            <w:r>
              <w:rPr>
                <w:sz w:val="18"/>
              </w:rPr>
              <w:t>Not applicable</w:t>
            </w:r>
          </w:p>
        </w:tc>
      </w:tr>
    </w:tbl>
    <w:p>
      <w:pPr>
        <w:spacing w:after="80"/>
      </w:pPr>
      <w:r>
        <w:rPr>
          <w:b w:val="0"/>
          <w:i w:val="0"/>
          <w:sz w:val="21"/>
        </w:rPr>
        <w:t>6.2  The leave year runs from 1 January to 31 December. Leave in the year of joining is credited on a pro-rata basis. Leave must be applied for and approved on PeopleHub before it is taken, save in the case of sickness or genuine emergency.</w:t>
      </w:r>
    </w:p>
    <w:p>
      <w:pPr>
        <w:spacing w:before="240" w:after="100"/>
      </w:pPr>
      <w:r>
        <w:rPr>
          <w:b/>
          <w:color w:val="12305A"/>
          <w:sz w:val="24"/>
        </w:rPr>
        <w:t>7. Statutory and Company Benefits</w:t>
      </w:r>
    </w:p>
    <w:p>
      <w:pPr>
        <w:spacing w:after="140"/>
      </w:pPr>
      <w:r>
        <w:rPr>
          <w:b w:val="0"/>
          <w:i w:val="0"/>
          <w:sz w:val="21"/>
        </w:rPr>
        <w:t>7.1  You will be enrolled in the Employees' Provident Fund and, where applicable, the Employees' State Insurance scheme. Gratuity is payable in accordance with the Payment of Gratuity Act, 1972.</w:t>
      </w:r>
    </w:p>
    <w:p>
      <w:pPr>
        <w:spacing w:after="140"/>
      </w:pPr>
      <w:r>
        <w:rPr>
          <w:b w:val="0"/>
          <w:i w:val="0"/>
          <w:sz w:val="21"/>
        </w:rPr>
        <w:t>7.2  You and your eligible dependants will be covered under the Company's Group Mediclaim policy (INR 5,00,000 family floater), and you will be covered under the Group Personal Accident and Group Term Life policies, at Company cost. Enrolment of dependants must be completed within thirty (30) days of joining.</w:t>
      </w:r>
    </w:p>
    <w:p>
      <w:pPr>
        <w:spacing w:after="140"/>
      </w:pPr>
      <w:r>
        <w:rPr>
          <w:b w:val="0"/>
          <w:i w:val="0"/>
          <w:sz w:val="21"/>
        </w:rPr>
        <w:t>7.3  Other benefits, including the wellness allowance, certification reimbursement, the Employee Assistance Programme and long service recognition, are as set out in the Compensation, Benefits and Payroll Policy and may be varied by the Company from time to time.</w:t>
      </w:r>
    </w:p>
    <w:p>
      <w:pPr>
        <w:spacing w:before="240" w:after="100"/>
      </w:pPr>
      <w:r>
        <w:rPr>
          <w:b/>
          <w:color w:val="12305A"/>
          <w:sz w:val="24"/>
        </w:rPr>
        <w:t>8. Conduct, Confidentiality and Intellectual Property</w:t>
      </w:r>
    </w:p>
    <w:p>
      <w:pPr>
        <w:spacing w:after="140"/>
      </w:pPr>
      <w:r>
        <w:rPr>
          <w:b w:val="0"/>
          <w:i w:val="0"/>
          <w:sz w:val="21"/>
        </w:rPr>
        <w:t>8.1  You will comply with the Employee Handbook, the Code of Conduct and Prevention of Sexual Harassment Policy, the Information Security Policy and all other Company policies, each as amended from time to time and published on PeopleHub.</w:t>
      </w:r>
    </w:p>
    <w:p>
      <w:pPr>
        <w:spacing w:after="140"/>
      </w:pPr>
      <w:r>
        <w:rPr>
          <w:b w:val="0"/>
          <w:i w:val="0"/>
          <w:sz w:val="21"/>
        </w:rPr>
        <w:t>8.2  You will not, during or after your employment, disclose or use any confidential information of the Company or of any client, except as required in the proper performance of your duties. This obligation survives the termination of your employment without limit of time.</w:t>
      </w:r>
    </w:p>
    <w:p>
      <w:pPr>
        <w:spacing w:after="140"/>
      </w:pPr>
      <w:r>
        <w:rPr>
          <w:b w:val="0"/>
          <w:i w:val="0"/>
          <w:sz w:val="21"/>
        </w:rPr>
        <w:t>8.3  All intellectual property created by you in the course of your employment, or using Company or client resources, vests in the Company or, where the client contract so provides, in the client. You assign all such rights and agree to execute any further document reasonably required to perfect that assignment.</w:t>
      </w:r>
    </w:p>
    <w:p>
      <w:pPr>
        <w:spacing w:after="140"/>
      </w:pPr>
      <w:r>
        <w:rPr>
          <w:b w:val="0"/>
          <w:i w:val="0"/>
          <w:sz w:val="21"/>
        </w:rPr>
        <w:t>8.4  You will not, without the prior written approval of the Chief Human Resources Officer, take up concurrent employment, a retainer, a consulting engagement or a directorship with any other commercial entity.</w:t>
      </w:r>
    </w:p>
    <w:p>
      <w:pPr>
        <w:spacing w:after="140"/>
      </w:pPr>
      <w:r>
        <w:rPr>
          <w:b w:val="0"/>
          <w:i w:val="0"/>
          <w:sz w:val="21"/>
        </w:rPr>
        <w:t>8.5  You will declare, on joining and annually thereafter, any conflict of interest, including any financial interest, directorship, outside engagement or family relationship that could reasonably be seen to conflict with your duties.</w:t>
      </w:r>
    </w:p>
    <w:p>
      <w:pPr>
        <w:spacing w:before="240" w:after="100"/>
      </w:pPr>
      <w:r>
        <w:rPr>
          <w:b/>
          <w:color w:val="12305A"/>
          <w:sz w:val="24"/>
        </w:rPr>
        <w:t>9. Notice, Termination and Post-Employment Obligations</w:t>
      </w:r>
    </w:p>
    <w:p>
      <w:pPr>
        <w:spacing w:after="140"/>
      </w:pPr>
      <w:r>
        <w:rPr>
          <w:b w:val="0"/>
          <w:i w:val="0"/>
          <w:sz w:val="21"/>
        </w:rPr>
        <w:t>9.1  After confirmation, either party may terminate this employment by giving written notice of {{NOTICE_PERIOD_DAYS}} calendar days — sixty (60) calendar days for Band B1 to B3 and ninety (90) calendar days for Band B4 and above — or salary in lieu of notice at the Company's option.</w:t>
      </w:r>
    </w:p>
    <w:p>
      <w:pPr>
        <w:spacing w:after="140"/>
      </w:pPr>
      <w:r>
        <w:rPr>
          <w:b w:val="0"/>
          <w:i w:val="0"/>
          <w:sz w:val="21"/>
        </w:rPr>
        <w:t>9.2  Earned Leave may not be adjusted against the notice period. Leave taken during notice extends your last working day by an equivalent number of calendar days unless expressly waived in writing.</w:t>
      </w:r>
    </w:p>
    <w:p>
      <w:pPr>
        <w:spacing w:after="140"/>
      </w:pPr>
      <w:r>
        <w:rPr>
          <w:b w:val="0"/>
          <w:i w:val="0"/>
          <w:sz w:val="21"/>
        </w:rPr>
        <w:t>9.3  The Company may terminate your employment without notice or notice pay for serious misconduct as described in the Employee Handbook, including theft, fraud, falsification of records, unauthorised disclosure of confidential information, sexual harassment, physical violence and the acceptance of a bribe.</w:t>
      </w:r>
    </w:p>
    <w:p>
      <w:pPr>
        <w:spacing w:after="140"/>
      </w:pPr>
      <w:r>
        <w:rPr>
          <w:b w:val="0"/>
          <w:i w:val="0"/>
          <w:sz w:val="21"/>
        </w:rPr>
        <w:t>9.4  For twelve (12) months after your last working day, you will not solicit any employee of the Company to leave its employment, nor solicit any client of the Company that you served in the twelve months before that date.</w:t>
      </w:r>
    </w:p>
    <w:p>
      <w:pPr>
        <w:spacing w:after="140"/>
      </w:pPr>
      <w:r>
        <w:rPr>
          <w:b w:val="0"/>
          <w:i w:val="0"/>
          <w:sz w:val="21"/>
        </w:rPr>
        <w:t>9.5  On separation you will return all Company and client property, including devices, access cards, documents and data, and will delete all Company and client material from any personal device or account.</w:t>
      </w:r>
    </w:p>
    <w:p>
      <w:pPr>
        <w:spacing w:before="240" w:after="100"/>
      </w:pPr>
      <w:r>
        <w:rPr>
          <w:b/>
          <w:color w:val="12305A"/>
          <w:sz w:val="24"/>
        </w:rPr>
        <w:t>10. General</w:t>
      </w:r>
    </w:p>
    <w:p>
      <w:pPr>
        <w:spacing w:after="140"/>
      </w:pPr>
      <w:r>
        <w:rPr>
          <w:b w:val="0"/>
          <w:i w:val="0"/>
          <w:sz w:val="21"/>
        </w:rPr>
        <w:t>10.1  The age of superannuation is fifty-eight (58) years, calculated to the last day of the month in which you attain that age.</w:t>
      </w:r>
    </w:p>
    <w:p>
      <w:pPr>
        <w:spacing w:after="140"/>
      </w:pPr>
      <w:r>
        <w:rPr>
          <w:b w:val="0"/>
          <w:i w:val="0"/>
          <w:sz w:val="21"/>
        </w:rPr>
        <w:t>10.2  This letter is governed by the laws of India. The courts at Gurugram, Haryana have exclusive jurisdiction.</w:t>
      </w:r>
    </w:p>
    <w:p>
      <w:pPr>
        <w:spacing w:after="140"/>
      </w:pPr>
      <w:r>
        <w:rPr>
          <w:b w:val="0"/>
          <w:i w:val="0"/>
          <w:sz w:val="21"/>
        </w:rPr>
        <w:t>10.3  If any provision of this letter is held unenforceable, the remaining provisions continue in full force.</w:t>
      </w:r>
    </w:p>
    <w:p>
      <w:pPr>
        <w:spacing w:after="140"/>
      </w:pPr>
      <w:r>
        <w:rPr>
          <w:b w:val="0"/>
          <w:i w:val="0"/>
          <w:sz w:val="21"/>
        </w:rPr>
        <w:t>10.4  Please sign and return the duplicate copy of this letter, together with Annexure D, within seven (7) days of the date of this letter. This offer lapses if it is not accepted within that period.</w:t>
      </w:r>
    </w:p>
    <w:p>
      <w:pPr>
        <w:spacing w:after="360"/>
      </w:pPr>
      <w:r>
        <w:rPr>
          <w:b w:val="0"/>
          <w:i w:val="0"/>
          <w:sz w:val="21"/>
        </w:rPr>
        <w:t>We look forward to welcoming you to Nexora.</w:t>
      </w:r>
    </w:p>
    <w:p>
      <w:pPr>
        <w:spacing w:after="520"/>
      </w:pPr>
      <w:r>
        <w:rPr>
          <w:b w:val="0"/>
          <w:i w:val="0"/>
          <w:sz w:val="21"/>
        </w:rPr>
        <w:t>Yours sincerely,</w:t>
      </w:r>
    </w:p>
    <w:p>
      <w:pPr>
        <w:spacing w:after="20"/>
      </w:pPr>
      <w:r>
        <w:rPr>
          <w:b/>
          <w:i w:val="0"/>
          <w:sz w:val="21"/>
        </w:rPr>
        <w:t>{{SIGNATORY_NAME}}</w:t>
      </w:r>
    </w:p>
    <w:p>
      <w:pPr>
        <w:spacing w:after="20"/>
      </w:pPr>
      <w:r>
        <w:rPr>
          <w:b w:val="0"/>
          <w:i w:val="0"/>
          <w:sz w:val="21"/>
        </w:rPr>
        <w:t>{{SIGNATORY_DESIGNATION}}</w:t>
      </w:r>
    </w:p>
    <w:p>
      <w:pPr>
        <w:spacing w:after="360"/>
      </w:pPr>
      <w:r>
        <w:rPr>
          <w:b w:val="0"/>
          <w:i w:val="0"/>
          <w:sz w:val="21"/>
        </w:rPr>
        <w:t>For Nexora Technologies Private Limited</w:t>
      </w:r>
    </w:p>
    <w:p>
      <w:pPr>
        <w:spacing w:after="120"/>
      </w:pPr>
      <w:r>
        <w:rPr>
          <w:b/>
          <w:i w:val="0"/>
          <w:sz w:val="21"/>
        </w:rPr>
        <w:t>ACCEPTANCE</w:t>
      </w:r>
    </w:p>
    <w:p>
      <w:pPr>
        <w:spacing w:after="320"/>
      </w:pPr>
      <w:r>
        <w:rPr>
          <w:b w:val="0"/>
          <w:i w:val="0"/>
          <w:sz w:val="21"/>
        </w:rPr>
        <w:t>I have read and understood the terms set out in this letter and its Annexures, and I accept the offer of employment on those terms. I confirm that I am under no obligation to any former employer that would prevent or restrict my employment with Nexora Technologies Private Limited.</w:t>
      </w:r>
    </w:p>
    <w:p>
      <w:pPr>
        <w:spacing w:after="160"/>
      </w:pPr>
      <w:r>
        <w:rPr>
          <w:b w:val="0"/>
          <w:i w:val="0"/>
          <w:sz w:val="21"/>
        </w:rPr>
        <w:t>Signature: ______________________________     Date: ____________________</w:t>
      </w:r>
    </w:p>
    <w:p>
      <w:pPr>
        <w:spacing w:after="160"/>
      </w:pPr>
      <w:r>
        <w:rPr>
          <w:b w:val="0"/>
          <w:i w:val="0"/>
          <w:sz w:val="21"/>
        </w:rPr>
        <w:t>Name: {{CANDIDATE_NAME}}</w:t>
      </w:r>
    </w:p>
    <w:p>
      <w:pPr>
        <w:spacing w:after="140"/>
      </w:pPr>
      <w:r>
        <w:rPr>
          <w:b w:val="0"/>
          <w:i w:val="0"/>
          <w:sz w:val="21"/>
        </w:rPr>
        <w:t>Proposed date of joining: ____________________</w:t>
      </w:r>
    </w:p>
    <w:p>
      <w:r>
        <w:br w:type="page"/>
      </w:r>
    </w:p>
    <w:p>
      <w:pPr>
        <w:spacing w:before="240" w:after="100"/>
      </w:pPr>
      <w:r>
        <w:rPr>
          <w:b/>
          <w:color w:val="12305A"/>
          <w:sz w:val="26"/>
        </w:rPr>
        <w:t>Annexure A — Compensation Break-up</w:t>
      </w:r>
    </w:p>
    <w:p>
      <w:pPr>
        <w:spacing w:after="140"/>
      </w:pPr>
      <w:r>
        <w:rPr>
          <w:b w:val="0"/>
          <w:i/>
          <w:sz w:val="18"/>
        </w:rPr>
        <w:t>All figures are annual and in Indian Rupees. Monthly figures are derived by division by twelve and may differ by a rupee owing to rounding.</w:t>
      </w:r>
    </w:p>
    <w:tbl>
      <w:tblPr>
        <w:tblStyle w:val="TableGrid"/>
        <w:tblW w:type="auto" w:w="0"/>
        <w:jc w:val="left"/>
        <w:tblLook w:firstColumn="1" w:firstRow="1" w:lastColumn="0" w:lastRow="0" w:noHBand="0" w:noVBand="1" w:val="04A0"/>
      </w:tblPr>
      <w:tblGrid>
        <w:gridCol w:w="2408"/>
        <w:gridCol w:w="2408"/>
        <w:gridCol w:w="2408"/>
        <w:gridCol w:w="2408"/>
      </w:tblGrid>
      <w:tr>
        <w:tc>
          <w:tcPr>
            <w:tcW w:type="dxa" w:w="2835"/>
            <w:shd w:val="clear" w:fill="E8EDF4"/>
          </w:tcPr>
          <w:p>
            <w:pPr>
              <w:spacing w:after="40"/>
            </w:pPr>
            <w:r/>
            <w:r>
              <w:rPr>
                <w:b/>
                <w:sz w:val="18"/>
              </w:rPr>
              <w:t>Component</w:t>
            </w:r>
          </w:p>
        </w:tc>
        <w:tc>
          <w:tcPr>
            <w:tcW w:type="dxa" w:w="2948"/>
            <w:shd w:val="clear" w:fill="E8EDF4"/>
          </w:tcPr>
          <w:p>
            <w:pPr>
              <w:spacing w:after="40"/>
            </w:pPr>
            <w:r/>
            <w:r>
              <w:rPr>
                <w:b/>
                <w:sz w:val="18"/>
              </w:rPr>
              <w:t>Basis</w:t>
            </w:r>
          </w:p>
        </w:tc>
        <w:tc>
          <w:tcPr>
            <w:tcW w:type="dxa" w:w="1871"/>
            <w:shd w:val="clear" w:fill="E8EDF4"/>
          </w:tcPr>
          <w:p>
            <w:pPr>
              <w:spacing w:after="40"/>
            </w:pPr>
            <w:r/>
            <w:r>
              <w:rPr>
                <w:b/>
                <w:sz w:val="18"/>
              </w:rPr>
              <w:t>Annual (INR)</w:t>
            </w:r>
          </w:p>
        </w:tc>
        <w:tc>
          <w:tcPr>
            <w:tcW w:type="dxa" w:w="1701"/>
            <w:shd w:val="clear" w:fill="E8EDF4"/>
          </w:tcPr>
          <w:p>
            <w:pPr>
              <w:spacing w:after="40"/>
            </w:pPr>
            <w:r/>
            <w:r>
              <w:rPr>
                <w:b/>
                <w:sz w:val="18"/>
              </w:rPr>
              <w:t>Monthly (INR)</w:t>
            </w:r>
          </w:p>
        </w:tc>
      </w:tr>
      <w:tr>
        <w:tc>
          <w:tcPr>
            <w:tcW w:type="dxa" w:w="2835"/>
          </w:tcPr>
          <w:p>
            <w:pPr>
              <w:spacing w:after="40"/>
            </w:pPr>
            <w:r/>
            <w:r>
              <w:rPr>
                <w:sz w:val="18"/>
              </w:rPr>
              <w:t>Basic Salary</w:t>
            </w:r>
          </w:p>
        </w:tc>
        <w:tc>
          <w:tcPr>
            <w:tcW w:type="dxa" w:w="2948"/>
          </w:tcPr>
          <w:p>
            <w:pPr>
              <w:spacing w:after="40"/>
            </w:pPr>
            <w:r/>
            <w:r>
              <w:rPr>
                <w:sz w:val="18"/>
              </w:rPr>
              <w:t>40% of Fixed Pay</w:t>
            </w:r>
          </w:p>
        </w:tc>
        <w:tc>
          <w:tcPr>
            <w:tcW w:type="dxa" w:w="1871"/>
          </w:tcPr>
          <w:p>
            <w:pPr>
              <w:spacing w:after="40"/>
            </w:pPr>
            <w:r/>
            <w:r>
              <w:rPr>
                <w:sz w:val="18"/>
              </w:rPr>
              <w:t>{{BASIC_ANNUAL}}</w:t>
            </w:r>
          </w:p>
        </w:tc>
        <w:tc>
          <w:tcPr>
            <w:tcW w:type="dxa" w:w="1701"/>
          </w:tcPr>
          <w:p>
            <w:pPr>
              <w:spacing w:after="40"/>
            </w:pPr>
            <w:r/>
            <w:r>
              <w:rPr>
                <w:sz w:val="18"/>
              </w:rPr>
              <w:t>{{BASIC_MONTHLY}}</w:t>
            </w:r>
          </w:p>
        </w:tc>
      </w:tr>
      <w:tr>
        <w:tc>
          <w:tcPr>
            <w:tcW w:type="dxa" w:w="2835"/>
          </w:tcPr>
          <w:p>
            <w:pPr>
              <w:spacing w:after="40"/>
            </w:pPr>
            <w:r/>
            <w:r>
              <w:rPr>
                <w:sz w:val="18"/>
              </w:rPr>
              <w:t>House Rent Allowance</w:t>
            </w:r>
          </w:p>
        </w:tc>
        <w:tc>
          <w:tcPr>
            <w:tcW w:type="dxa" w:w="2948"/>
          </w:tcPr>
          <w:p>
            <w:pPr>
              <w:spacing w:after="40"/>
            </w:pPr>
            <w:r/>
            <w:r>
              <w:rPr>
                <w:sz w:val="18"/>
              </w:rPr>
              <w:t>50% of Basic</w:t>
            </w:r>
          </w:p>
        </w:tc>
        <w:tc>
          <w:tcPr>
            <w:tcW w:type="dxa" w:w="1871"/>
          </w:tcPr>
          <w:p>
            <w:pPr>
              <w:spacing w:after="40"/>
            </w:pPr>
            <w:r/>
            <w:r>
              <w:rPr>
                <w:sz w:val="18"/>
              </w:rPr>
              <w:t>{{HRA_ANNUAL}}</w:t>
            </w:r>
          </w:p>
        </w:tc>
        <w:tc>
          <w:tcPr>
            <w:tcW w:type="dxa" w:w="1701"/>
          </w:tcPr>
          <w:p>
            <w:pPr>
              <w:spacing w:after="40"/>
            </w:pPr>
            <w:r/>
            <w:r>
              <w:rPr>
                <w:sz w:val="18"/>
              </w:rPr>
              <w:t>{{HRA_MONTHLY}}</w:t>
            </w:r>
          </w:p>
        </w:tc>
      </w:tr>
      <w:tr>
        <w:tc>
          <w:tcPr>
            <w:tcW w:type="dxa" w:w="2835"/>
          </w:tcPr>
          <w:p>
            <w:pPr>
              <w:spacing w:after="40"/>
            </w:pPr>
            <w:r/>
            <w:r>
              <w:rPr>
                <w:sz w:val="18"/>
              </w:rPr>
              <w:t>Leave Travel Allowance</w:t>
            </w:r>
          </w:p>
        </w:tc>
        <w:tc>
          <w:tcPr>
            <w:tcW w:type="dxa" w:w="2948"/>
          </w:tcPr>
          <w:p>
            <w:pPr>
              <w:spacing w:after="40"/>
            </w:pPr>
            <w:r/>
            <w:r>
              <w:rPr>
                <w:sz w:val="18"/>
              </w:rPr>
              <w:t>Fixed</w:t>
            </w:r>
          </w:p>
        </w:tc>
        <w:tc>
          <w:tcPr>
            <w:tcW w:type="dxa" w:w="1871"/>
          </w:tcPr>
          <w:p>
            <w:pPr>
              <w:spacing w:after="40"/>
            </w:pPr>
            <w:r/>
            <w:r>
              <w:rPr>
                <w:sz w:val="18"/>
              </w:rPr>
              <w:t>40,000</w:t>
            </w:r>
          </w:p>
        </w:tc>
        <w:tc>
          <w:tcPr>
            <w:tcW w:type="dxa" w:w="1701"/>
          </w:tcPr>
          <w:p>
            <w:pPr>
              <w:spacing w:after="40"/>
            </w:pPr>
            <w:r/>
            <w:r>
              <w:rPr>
                <w:sz w:val="18"/>
              </w:rPr>
              <w:t>3,333</w:t>
            </w:r>
          </w:p>
        </w:tc>
      </w:tr>
      <w:tr>
        <w:tc>
          <w:tcPr>
            <w:tcW w:type="dxa" w:w="2835"/>
          </w:tcPr>
          <w:p>
            <w:pPr>
              <w:spacing w:after="40"/>
            </w:pPr>
            <w:r/>
            <w:r>
              <w:rPr>
                <w:sz w:val="18"/>
              </w:rPr>
              <w:t>Meal Card (NexoCard)</w:t>
            </w:r>
          </w:p>
        </w:tc>
        <w:tc>
          <w:tcPr>
            <w:tcW w:type="dxa" w:w="2948"/>
          </w:tcPr>
          <w:p>
            <w:pPr>
              <w:spacing w:after="40"/>
            </w:pPr>
            <w:r/>
            <w:r>
              <w:rPr>
                <w:sz w:val="18"/>
              </w:rPr>
              <w:t>Fixed</w:t>
            </w:r>
          </w:p>
        </w:tc>
        <w:tc>
          <w:tcPr>
            <w:tcW w:type="dxa" w:w="1871"/>
          </w:tcPr>
          <w:p>
            <w:pPr>
              <w:spacing w:after="40"/>
            </w:pPr>
            <w:r/>
            <w:r>
              <w:rPr>
                <w:sz w:val="18"/>
              </w:rPr>
              <w:t>26,400</w:t>
            </w:r>
          </w:p>
        </w:tc>
        <w:tc>
          <w:tcPr>
            <w:tcW w:type="dxa" w:w="1701"/>
          </w:tcPr>
          <w:p>
            <w:pPr>
              <w:spacing w:after="40"/>
            </w:pPr>
            <w:r/>
            <w:r>
              <w:rPr>
                <w:sz w:val="18"/>
              </w:rPr>
              <w:t>2,200</w:t>
            </w:r>
          </w:p>
        </w:tc>
      </w:tr>
      <w:tr>
        <w:tc>
          <w:tcPr>
            <w:tcW w:type="dxa" w:w="2835"/>
          </w:tcPr>
          <w:p>
            <w:pPr>
              <w:spacing w:after="40"/>
            </w:pPr>
            <w:r/>
            <w:r>
              <w:rPr>
                <w:sz w:val="18"/>
              </w:rPr>
              <w:t>Telephone and Internet</w:t>
            </w:r>
          </w:p>
        </w:tc>
        <w:tc>
          <w:tcPr>
            <w:tcW w:type="dxa" w:w="2948"/>
          </w:tcPr>
          <w:p>
            <w:pPr>
              <w:spacing w:after="40"/>
            </w:pPr>
            <w:r/>
            <w:r>
              <w:rPr>
                <w:sz w:val="18"/>
              </w:rPr>
              <w:t>Hybrid / Remote only</w:t>
            </w:r>
          </w:p>
        </w:tc>
        <w:tc>
          <w:tcPr>
            <w:tcW w:type="dxa" w:w="1871"/>
          </w:tcPr>
          <w:p>
            <w:pPr>
              <w:spacing w:after="40"/>
            </w:pPr>
            <w:r/>
            <w:r>
              <w:rPr>
                <w:sz w:val="18"/>
              </w:rPr>
              <w:t>18,000</w:t>
            </w:r>
          </w:p>
        </w:tc>
        <w:tc>
          <w:tcPr>
            <w:tcW w:type="dxa" w:w="1701"/>
          </w:tcPr>
          <w:p>
            <w:pPr>
              <w:spacing w:after="40"/>
            </w:pPr>
            <w:r/>
            <w:r>
              <w:rPr>
                <w:sz w:val="18"/>
              </w:rPr>
              <w:t>1,500</w:t>
            </w:r>
          </w:p>
        </w:tc>
      </w:tr>
      <w:tr>
        <w:tc>
          <w:tcPr>
            <w:tcW w:type="dxa" w:w="2835"/>
          </w:tcPr>
          <w:p>
            <w:pPr>
              <w:spacing w:after="40"/>
            </w:pPr>
            <w:r/>
            <w:r>
              <w:rPr>
                <w:sz w:val="18"/>
              </w:rPr>
              <w:t>Books and Periodicals</w:t>
            </w:r>
          </w:p>
        </w:tc>
        <w:tc>
          <w:tcPr>
            <w:tcW w:type="dxa" w:w="2948"/>
          </w:tcPr>
          <w:p>
            <w:pPr>
              <w:spacing w:after="40"/>
            </w:pPr>
            <w:r/>
            <w:r>
              <w:rPr>
                <w:sz w:val="18"/>
              </w:rPr>
              <w:t>Against bills</w:t>
            </w:r>
          </w:p>
        </w:tc>
        <w:tc>
          <w:tcPr>
            <w:tcW w:type="dxa" w:w="1871"/>
          </w:tcPr>
          <w:p>
            <w:pPr>
              <w:spacing w:after="40"/>
            </w:pPr>
            <w:r/>
            <w:r>
              <w:rPr>
                <w:sz w:val="18"/>
              </w:rPr>
              <w:t>12,000</w:t>
            </w:r>
          </w:p>
        </w:tc>
        <w:tc>
          <w:tcPr>
            <w:tcW w:type="dxa" w:w="1701"/>
          </w:tcPr>
          <w:p>
            <w:pPr>
              <w:spacing w:after="40"/>
            </w:pPr>
            <w:r/>
            <w:r>
              <w:rPr>
                <w:sz w:val="18"/>
              </w:rPr>
              <w:t>1,000</w:t>
            </w:r>
          </w:p>
        </w:tc>
      </w:tr>
      <w:tr>
        <w:tc>
          <w:tcPr>
            <w:tcW w:type="dxa" w:w="2835"/>
          </w:tcPr>
          <w:p>
            <w:pPr>
              <w:spacing w:after="40"/>
            </w:pPr>
            <w:r/>
            <w:r>
              <w:rPr>
                <w:sz w:val="18"/>
              </w:rPr>
              <w:t>Special Allowance</w:t>
            </w:r>
          </w:p>
        </w:tc>
        <w:tc>
          <w:tcPr>
            <w:tcW w:type="dxa" w:w="2948"/>
          </w:tcPr>
          <w:p>
            <w:pPr>
              <w:spacing w:after="40"/>
            </w:pPr>
            <w:r/>
            <w:r>
              <w:rPr>
                <w:sz w:val="18"/>
              </w:rPr>
              <w:t>Balancing figure</w:t>
            </w:r>
          </w:p>
        </w:tc>
        <w:tc>
          <w:tcPr>
            <w:tcW w:type="dxa" w:w="1871"/>
          </w:tcPr>
          <w:p>
            <w:pPr>
              <w:spacing w:after="40"/>
            </w:pPr>
            <w:r/>
            <w:r>
              <w:rPr>
                <w:sz w:val="18"/>
              </w:rPr>
              <w:t>{{SPECIAL_ANNUAL}}</w:t>
            </w:r>
          </w:p>
        </w:tc>
        <w:tc>
          <w:tcPr>
            <w:tcW w:type="dxa" w:w="1701"/>
          </w:tcPr>
          <w:p>
            <w:pPr>
              <w:spacing w:after="40"/>
            </w:pPr>
            <w:r/>
            <w:r>
              <w:rPr>
                <w:sz w:val="18"/>
              </w:rPr>
              <w:t>{{SPECIAL_MONTHLY}}</w:t>
            </w:r>
          </w:p>
        </w:tc>
      </w:tr>
      <w:tr>
        <w:tc>
          <w:tcPr>
            <w:tcW w:type="dxa" w:w="2835"/>
          </w:tcPr>
          <w:p>
            <w:pPr>
              <w:spacing w:after="40"/>
            </w:pPr>
            <w:r/>
            <w:r>
              <w:rPr>
                <w:sz w:val="18"/>
              </w:rPr>
              <w:t>A. Fixed Pay</w:t>
            </w:r>
          </w:p>
        </w:tc>
        <w:tc>
          <w:tcPr>
            <w:tcW w:type="dxa" w:w="2948"/>
          </w:tcPr>
          <w:p>
            <w:pPr>
              <w:spacing w:after="40"/>
            </w:pPr>
            <w:r/>
            <w:r>
              <w:rPr>
                <w:sz w:val="18"/>
              </w:rPr>
              <w:t>Sum of the above</w:t>
            </w:r>
          </w:p>
        </w:tc>
        <w:tc>
          <w:tcPr>
            <w:tcW w:type="dxa" w:w="1871"/>
          </w:tcPr>
          <w:p>
            <w:pPr>
              <w:spacing w:after="40"/>
            </w:pPr>
            <w:r/>
            <w:r>
              <w:rPr>
                <w:sz w:val="18"/>
              </w:rPr>
              <w:t>{{FIXED_PAY}}</w:t>
            </w:r>
          </w:p>
        </w:tc>
        <w:tc>
          <w:tcPr>
            <w:tcW w:type="dxa" w:w="1701"/>
          </w:tcPr>
          <w:p>
            <w:pPr>
              <w:spacing w:after="40"/>
            </w:pPr>
            <w:r/>
            <w:r>
              <w:rPr>
                <w:sz w:val="18"/>
              </w:rPr>
              <w:t>{{FIXED_PAY_MONTHLY}}</w:t>
            </w:r>
          </w:p>
        </w:tc>
      </w:tr>
      <w:tr>
        <w:tc>
          <w:tcPr>
            <w:tcW w:type="dxa" w:w="2835"/>
          </w:tcPr>
          <w:p>
            <w:pPr>
              <w:spacing w:after="40"/>
            </w:pPr>
            <w:r/>
            <w:r>
              <w:rPr>
                <w:sz w:val="18"/>
              </w:rPr>
              <w:t>B. Variable Pay</w:t>
            </w:r>
          </w:p>
        </w:tc>
        <w:tc>
          <w:tcPr>
            <w:tcW w:type="dxa" w:w="2948"/>
          </w:tcPr>
          <w:p>
            <w:pPr>
              <w:spacing w:after="40"/>
            </w:pPr>
            <w:r/>
            <w:r>
              <w:rPr>
                <w:sz w:val="18"/>
              </w:rPr>
              <w:t>{{VARIABLE_PCT}}% of CTC, annual</w:t>
            </w:r>
          </w:p>
        </w:tc>
        <w:tc>
          <w:tcPr>
            <w:tcW w:type="dxa" w:w="1871"/>
          </w:tcPr>
          <w:p>
            <w:pPr>
              <w:spacing w:after="40"/>
            </w:pPr>
            <w:r/>
            <w:r>
              <w:rPr>
                <w:sz w:val="18"/>
              </w:rPr>
              <w:t>{{VARIABLE_ANNUAL}}</w:t>
            </w:r>
          </w:p>
        </w:tc>
        <w:tc>
          <w:tcPr>
            <w:tcW w:type="dxa" w:w="1701"/>
          </w:tcPr>
          <w:p>
            <w:pPr>
              <w:spacing w:after="40"/>
            </w:pPr>
            <w:r/>
            <w:r>
              <w:rPr>
                <w:sz w:val="18"/>
              </w:rPr>
              <w:t>Not applicable</w:t>
            </w:r>
          </w:p>
        </w:tc>
      </w:tr>
      <w:tr>
        <w:tc>
          <w:tcPr>
            <w:tcW w:type="dxa" w:w="2835"/>
          </w:tcPr>
          <w:p>
            <w:pPr>
              <w:spacing w:after="40"/>
            </w:pPr>
            <w:r/>
            <w:r>
              <w:rPr>
                <w:sz w:val="18"/>
              </w:rPr>
              <w:t>Employer Provident Fund</w:t>
            </w:r>
          </w:p>
        </w:tc>
        <w:tc>
          <w:tcPr>
            <w:tcW w:type="dxa" w:w="2948"/>
          </w:tcPr>
          <w:p>
            <w:pPr>
              <w:spacing w:after="40"/>
            </w:pPr>
            <w:r/>
            <w:r>
              <w:rPr>
                <w:sz w:val="18"/>
              </w:rPr>
              <w:t>12% of Basic, statutory ceiling applies</w:t>
            </w:r>
          </w:p>
        </w:tc>
        <w:tc>
          <w:tcPr>
            <w:tcW w:type="dxa" w:w="1871"/>
          </w:tcPr>
          <w:p>
            <w:pPr>
              <w:spacing w:after="40"/>
            </w:pPr>
            <w:r/>
            <w:r>
              <w:rPr>
                <w:sz w:val="18"/>
              </w:rPr>
              <w:t>{{PF_ANNUAL}}</w:t>
            </w:r>
          </w:p>
        </w:tc>
        <w:tc>
          <w:tcPr>
            <w:tcW w:type="dxa" w:w="1701"/>
          </w:tcPr>
          <w:p>
            <w:pPr>
              <w:spacing w:after="40"/>
            </w:pPr>
            <w:r/>
            <w:r>
              <w:rPr>
                <w:sz w:val="18"/>
              </w:rPr>
              <w:t>{{PF_MONTHLY}}</w:t>
            </w:r>
          </w:p>
        </w:tc>
      </w:tr>
      <w:tr>
        <w:tc>
          <w:tcPr>
            <w:tcW w:type="dxa" w:w="2835"/>
          </w:tcPr>
          <w:p>
            <w:pPr>
              <w:spacing w:after="40"/>
            </w:pPr>
            <w:r/>
            <w:r>
              <w:rPr>
                <w:sz w:val="18"/>
              </w:rPr>
              <w:t>Gratuity provision</w:t>
            </w:r>
          </w:p>
        </w:tc>
        <w:tc>
          <w:tcPr>
            <w:tcW w:type="dxa" w:w="2948"/>
          </w:tcPr>
          <w:p>
            <w:pPr>
              <w:spacing w:after="40"/>
            </w:pPr>
            <w:r/>
            <w:r>
              <w:rPr>
                <w:sz w:val="18"/>
              </w:rPr>
              <w:t>4.81% of Basic</w:t>
            </w:r>
          </w:p>
        </w:tc>
        <w:tc>
          <w:tcPr>
            <w:tcW w:type="dxa" w:w="1871"/>
          </w:tcPr>
          <w:p>
            <w:pPr>
              <w:spacing w:after="40"/>
            </w:pPr>
            <w:r/>
            <w:r>
              <w:rPr>
                <w:sz w:val="18"/>
              </w:rPr>
              <w:t>{{GRATUITY_ANNUAL}}</w:t>
            </w:r>
          </w:p>
        </w:tc>
        <w:tc>
          <w:tcPr>
            <w:tcW w:type="dxa" w:w="1701"/>
          </w:tcPr>
          <w:p>
            <w:pPr>
              <w:spacing w:after="40"/>
            </w:pPr>
            <w:r/>
            <w:r>
              <w:rPr>
                <w:sz w:val="18"/>
              </w:rPr>
              <w:t>{{GRATUITY_MONTHLY}}</w:t>
            </w:r>
          </w:p>
        </w:tc>
      </w:tr>
      <w:tr>
        <w:tc>
          <w:tcPr>
            <w:tcW w:type="dxa" w:w="2835"/>
          </w:tcPr>
          <w:p>
            <w:pPr>
              <w:spacing w:after="40"/>
            </w:pPr>
            <w:r/>
            <w:r>
              <w:rPr>
                <w:sz w:val="18"/>
              </w:rPr>
              <w:t>C. Retirals</w:t>
            </w:r>
          </w:p>
        </w:tc>
        <w:tc>
          <w:tcPr>
            <w:tcW w:type="dxa" w:w="2948"/>
          </w:tcPr>
          <w:p>
            <w:pPr>
              <w:spacing w:after="40"/>
            </w:pPr>
            <w:r/>
            <w:r>
              <w:rPr>
                <w:sz w:val="18"/>
              </w:rPr>
              <w:t>Sum of the above</w:t>
            </w:r>
          </w:p>
        </w:tc>
        <w:tc>
          <w:tcPr>
            <w:tcW w:type="dxa" w:w="1871"/>
          </w:tcPr>
          <w:p>
            <w:pPr>
              <w:spacing w:after="40"/>
            </w:pPr>
            <w:r/>
            <w:r>
              <w:rPr>
                <w:sz w:val="18"/>
              </w:rPr>
              <w:t>{{RETIRALS}}</w:t>
            </w:r>
          </w:p>
        </w:tc>
        <w:tc>
          <w:tcPr>
            <w:tcW w:type="dxa" w:w="1701"/>
          </w:tcPr>
          <w:p>
            <w:pPr>
              <w:spacing w:after="40"/>
            </w:pPr>
            <w:r/>
            <w:r>
              <w:rPr>
                <w:sz w:val="18"/>
              </w:rPr>
              <w:t>—</w:t>
            </w:r>
          </w:p>
        </w:tc>
      </w:tr>
      <w:tr>
        <w:tc>
          <w:tcPr>
            <w:tcW w:type="dxa" w:w="2835"/>
          </w:tcPr>
          <w:p>
            <w:pPr>
              <w:spacing w:after="40"/>
            </w:pPr>
            <w:r/>
            <w:r>
              <w:rPr>
                <w:sz w:val="18"/>
              </w:rPr>
              <w:t>Cost to Company (A + B + C)</w:t>
            </w:r>
          </w:p>
        </w:tc>
        <w:tc>
          <w:tcPr>
            <w:tcW w:type="dxa" w:w="2948"/>
          </w:tcPr>
          <w:p>
            <w:pPr>
              <w:spacing w:after="40"/>
            </w:pPr>
            <w:r/>
            <w:r>
              <w:rPr>
                <w:sz w:val="18"/>
              </w:rPr>
            </w:r>
          </w:p>
        </w:tc>
        <w:tc>
          <w:tcPr>
            <w:tcW w:type="dxa" w:w="1871"/>
          </w:tcPr>
          <w:p>
            <w:pPr>
              <w:spacing w:after="40"/>
            </w:pPr>
            <w:r/>
            <w:r>
              <w:rPr>
                <w:sz w:val="18"/>
              </w:rPr>
              <w:t>{{ANNUAL_CTC}}</w:t>
            </w:r>
          </w:p>
        </w:tc>
        <w:tc>
          <w:tcPr>
            <w:tcW w:type="dxa" w:w="1701"/>
          </w:tcPr>
          <w:p>
            <w:pPr>
              <w:spacing w:after="40"/>
            </w:pPr>
            <w:r/>
            <w:r>
              <w:rPr>
                <w:sz w:val="18"/>
              </w:rPr>
              <w:t>—</w:t>
            </w:r>
          </w:p>
        </w:tc>
      </w:tr>
    </w:tbl>
    <w:p>
      <w:pPr>
        <w:spacing w:after="140"/>
      </w:pPr>
      <w:r>
        <w:rPr>
          <w:b w:val="0"/>
          <w:i/>
          <w:sz w:val="18"/>
        </w:rPr>
        <w:t>Employee contributions to the Provident Fund, professional tax and income tax are deducted from Fixed Pay and are not shown above. Professional tax is not levied in Haryana; it is INR 200 per month in Karnataka and INR 200 per month in Maharashtra (INR 300 in February).</w:t>
      </w:r>
    </w:p>
    <w:p>
      <w:pPr>
        <w:spacing w:before="240" w:after="100"/>
      </w:pPr>
      <w:r>
        <w:rPr>
          <w:b/>
          <w:color w:val="12305A"/>
          <w:sz w:val="26"/>
        </w:rPr>
        <w:t>Annexure B — Policies Incorporated by Reference</w:t>
      </w:r>
    </w:p>
    <w:tbl>
      <w:tblPr>
        <w:tblStyle w:val="TableGrid"/>
        <w:tblW w:type="auto" w:w="0"/>
        <w:jc w:val="left"/>
        <w:tblLook w:firstColumn="1" w:firstRow="1" w:lastColumn="0" w:lastRow="0" w:noHBand="0" w:noVBand="1" w:val="04A0"/>
      </w:tblPr>
      <w:tblGrid>
        <w:gridCol w:w="4816"/>
        <w:gridCol w:w="4816"/>
      </w:tblGrid>
      <w:tr>
        <w:tc>
          <w:tcPr>
            <w:tcW w:type="dxa" w:w="6803"/>
            <w:shd w:val="clear" w:fill="E8EDF4"/>
          </w:tcPr>
          <w:p>
            <w:pPr>
              <w:spacing w:after="40"/>
            </w:pPr>
            <w:r/>
            <w:r>
              <w:rPr>
                <w:b/>
                <w:sz w:val="18"/>
              </w:rPr>
              <w:t>Policy</w:t>
            </w:r>
          </w:p>
        </w:tc>
        <w:tc>
          <w:tcPr>
            <w:tcW w:type="dxa" w:w="2551"/>
            <w:shd w:val="clear" w:fill="E8EDF4"/>
          </w:tcPr>
          <w:p>
            <w:pPr>
              <w:spacing w:after="40"/>
            </w:pPr>
            <w:r/>
            <w:r>
              <w:rPr>
                <w:b/>
                <w:sz w:val="18"/>
              </w:rPr>
              <w:t>Document ID</w:t>
            </w:r>
          </w:p>
        </w:tc>
      </w:tr>
      <w:tr>
        <w:tc>
          <w:tcPr>
            <w:tcW w:type="dxa" w:w="6803"/>
          </w:tcPr>
          <w:p>
            <w:pPr>
              <w:spacing w:after="40"/>
            </w:pPr>
            <w:r/>
            <w:r>
              <w:rPr>
                <w:sz w:val="18"/>
              </w:rPr>
              <w:t>Employee Handbook</w:t>
            </w:r>
          </w:p>
        </w:tc>
        <w:tc>
          <w:tcPr>
            <w:tcW w:type="dxa" w:w="2551"/>
          </w:tcPr>
          <w:p>
            <w:pPr>
              <w:spacing w:after="40"/>
            </w:pPr>
            <w:r/>
            <w:r>
              <w:rPr>
                <w:sz w:val="18"/>
              </w:rPr>
              <w:t>HR-POL-001</w:t>
            </w:r>
          </w:p>
        </w:tc>
      </w:tr>
      <w:tr>
        <w:tc>
          <w:tcPr>
            <w:tcW w:type="dxa" w:w="6803"/>
          </w:tcPr>
          <w:p>
            <w:pPr>
              <w:spacing w:after="40"/>
            </w:pPr>
            <w:r/>
            <w:r>
              <w:rPr>
                <w:sz w:val="18"/>
              </w:rPr>
              <w:t>Code of Conduct and Prevention of Sexual Harassment Policy</w:t>
            </w:r>
          </w:p>
        </w:tc>
        <w:tc>
          <w:tcPr>
            <w:tcW w:type="dxa" w:w="2551"/>
          </w:tcPr>
          <w:p>
            <w:pPr>
              <w:spacing w:after="40"/>
            </w:pPr>
            <w:r/>
            <w:r>
              <w:rPr>
                <w:sz w:val="18"/>
              </w:rPr>
              <w:t>HR-POL-002</w:t>
            </w:r>
          </w:p>
        </w:tc>
      </w:tr>
      <w:tr>
        <w:tc>
          <w:tcPr>
            <w:tcW w:type="dxa" w:w="6803"/>
          </w:tcPr>
          <w:p>
            <w:pPr>
              <w:spacing w:after="40"/>
            </w:pPr>
            <w:r/>
            <w:r>
              <w:rPr>
                <w:sz w:val="18"/>
              </w:rPr>
              <w:t>Leave and Attendance Policy</w:t>
            </w:r>
          </w:p>
        </w:tc>
        <w:tc>
          <w:tcPr>
            <w:tcW w:type="dxa" w:w="2551"/>
          </w:tcPr>
          <w:p>
            <w:pPr>
              <w:spacing w:after="40"/>
            </w:pPr>
            <w:r/>
            <w:r>
              <w:rPr>
                <w:sz w:val="18"/>
              </w:rPr>
              <w:t>HR-POL-004</w:t>
            </w:r>
          </w:p>
        </w:tc>
      </w:tr>
      <w:tr>
        <w:tc>
          <w:tcPr>
            <w:tcW w:type="dxa" w:w="6803"/>
          </w:tcPr>
          <w:p>
            <w:pPr>
              <w:spacing w:after="40"/>
            </w:pPr>
            <w:r/>
            <w:r>
              <w:rPr>
                <w:sz w:val="18"/>
              </w:rPr>
              <w:t>Compensation, Benefits and Payroll Policy</w:t>
            </w:r>
          </w:p>
        </w:tc>
        <w:tc>
          <w:tcPr>
            <w:tcW w:type="dxa" w:w="2551"/>
          </w:tcPr>
          <w:p>
            <w:pPr>
              <w:spacing w:after="40"/>
            </w:pPr>
            <w:r/>
            <w:r>
              <w:rPr>
                <w:sz w:val="18"/>
              </w:rPr>
              <w:t>HR-POL-007</w:t>
            </w:r>
          </w:p>
        </w:tc>
      </w:tr>
      <w:tr>
        <w:tc>
          <w:tcPr>
            <w:tcW w:type="dxa" w:w="6803"/>
          </w:tcPr>
          <w:p>
            <w:pPr>
              <w:spacing w:after="40"/>
            </w:pPr>
            <w:r/>
            <w:r>
              <w:rPr>
                <w:sz w:val="18"/>
              </w:rPr>
              <w:t>Performance Review Process</w:t>
            </w:r>
          </w:p>
        </w:tc>
        <w:tc>
          <w:tcPr>
            <w:tcW w:type="dxa" w:w="2551"/>
          </w:tcPr>
          <w:p>
            <w:pPr>
              <w:spacing w:after="40"/>
            </w:pPr>
            <w:r/>
            <w:r>
              <w:rPr>
                <w:sz w:val="18"/>
              </w:rPr>
              <w:t>HR-POL-009</w:t>
            </w:r>
          </w:p>
        </w:tc>
      </w:tr>
      <w:tr>
        <w:tc>
          <w:tcPr>
            <w:tcW w:type="dxa" w:w="6803"/>
          </w:tcPr>
          <w:p>
            <w:pPr>
              <w:spacing w:after="40"/>
            </w:pPr>
            <w:r/>
            <w:r>
              <w:rPr>
                <w:sz w:val="18"/>
              </w:rPr>
              <w:t>Remote and Hybrid Work Guidelines</w:t>
            </w:r>
          </w:p>
        </w:tc>
        <w:tc>
          <w:tcPr>
            <w:tcW w:type="dxa" w:w="2551"/>
          </w:tcPr>
          <w:p>
            <w:pPr>
              <w:spacing w:after="40"/>
            </w:pPr>
            <w:r/>
            <w:r>
              <w:rPr>
                <w:sz w:val="18"/>
              </w:rPr>
              <w:t>HR-POL-012</w:t>
            </w:r>
          </w:p>
        </w:tc>
      </w:tr>
      <w:tr>
        <w:tc>
          <w:tcPr>
            <w:tcW w:type="dxa" w:w="6803"/>
          </w:tcPr>
          <w:p>
            <w:pPr>
              <w:spacing w:after="40"/>
            </w:pPr>
            <w:r/>
            <w:r>
              <w:rPr>
                <w:sz w:val="18"/>
              </w:rPr>
              <w:t>Onboarding and Training Manual</w:t>
            </w:r>
          </w:p>
        </w:tc>
        <w:tc>
          <w:tcPr>
            <w:tcW w:type="dxa" w:w="2551"/>
          </w:tcPr>
          <w:p>
            <w:pPr>
              <w:spacing w:after="40"/>
            </w:pPr>
            <w:r/>
            <w:r>
              <w:rPr>
                <w:sz w:val="18"/>
              </w:rPr>
              <w:t>HR-MAN-011</w:t>
            </w:r>
          </w:p>
        </w:tc>
      </w:tr>
      <w:tr>
        <w:tc>
          <w:tcPr>
            <w:tcW w:type="dxa" w:w="6803"/>
          </w:tcPr>
          <w:p>
            <w:pPr>
              <w:spacing w:after="40"/>
            </w:pPr>
            <w:r/>
            <w:r>
              <w:rPr>
                <w:sz w:val="18"/>
              </w:rPr>
              <w:t>Travel and Expense Reimbursement Policy</w:t>
            </w:r>
          </w:p>
        </w:tc>
        <w:tc>
          <w:tcPr>
            <w:tcW w:type="dxa" w:w="2551"/>
          </w:tcPr>
          <w:p>
            <w:pPr>
              <w:spacing w:after="40"/>
            </w:pPr>
            <w:r/>
            <w:r>
              <w:rPr>
                <w:sz w:val="18"/>
              </w:rPr>
              <w:t>FIN-POL-006</w:t>
            </w:r>
          </w:p>
        </w:tc>
      </w:tr>
      <w:tr>
        <w:tc>
          <w:tcPr>
            <w:tcW w:type="dxa" w:w="6803"/>
          </w:tcPr>
          <w:p>
            <w:pPr>
              <w:spacing w:after="40"/>
            </w:pPr>
            <w:r/>
            <w:r>
              <w:rPr>
                <w:sz w:val="18"/>
              </w:rPr>
              <w:t>Information Security Policy</w:t>
            </w:r>
          </w:p>
        </w:tc>
        <w:tc>
          <w:tcPr>
            <w:tcW w:type="dxa" w:w="2551"/>
          </w:tcPr>
          <w:p>
            <w:pPr>
              <w:spacing w:after="40"/>
            </w:pPr>
            <w:r/>
            <w:r>
              <w:rPr>
                <w:sz w:val="18"/>
              </w:rPr>
              <w:t>ISMS-POL-001</w:t>
            </w:r>
          </w:p>
        </w:tc>
      </w:tr>
      <w:tr>
        <w:tc>
          <w:tcPr>
            <w:tcW w:type="dxa" w:w="6803"/>
          </w:tcPr>
          <w:p>
            <w:pPr>
              <w:spacing w:after="40"/>
            </w:pPr>
            <w:r/>
            <w:r>
              <w:rPr>
                <w:sz w:val="18"/>
              </w:rPr>
              <w:t>Acceptable Use Policy</w:t>
            </w:r>
          </w:p>
        </w:tc>
        <w:tc>
          <w:tcPr>
            <w:tcW w:type="dxa" w:w="2551"/>
          </w:tcPr>
          <w:p>
            <w:pPr>
              <w:spacing w:after="40"/>
            </w:pPr>
            <w:r/>
            <w:r>
              <w:rPr>
                <w:sz w:val="18"/>
              </w:rPr>
              <w:t>ISMS-POL-004</w:t>
            </w:r>
          </w:p>
        </w:tc>
      </w:tr>
      <w:tr>
        <w:tc>
          <w:tcPr>
            <w:tcW w:type="dxa" w:w="6803"/>
          </w:tcPr>
          <w:p>
            <w:pPr>
              <w:spacing w:after="40"/>
            </w:pPr>
            <w:r/>
            <w:r>
              <w:rPr>
                <w:sz w:val="18"/>
              </w:rPr>
              <w:t>Generative AI Usage Standard</w:t>
            </w:r>
          </w:p>
        </w:tc>
        <w:tc>
          <w:tcPr>
            <w:tcW w:type="dxa" w:w="2551"/>
          </w:tcPr>
          <w:p>
            <w:pPr>
              <w:spacing w:after="40"/>
            </w:pPr>
            <w:r/>
            <w:r>
              <w:rPr>
                <w:sz w:val="18"/>
              </w:rPr>
              <w:t>ISMS-POL-009</w:t>
            </w:r>
          </w:p>
        </w:tc>
      </w:tr>
      <w:tr>
        <w:tc>
          <w:tcPr>
            <w:tcW w:type="dxa" w:w="6803"/>
          </w:tcPr>
          <w:p>
            <w:pPr>
              <w:spacing w:after="40"/>
            </w:pPr>
            <w:r/>
            <w:r>
              <w:rPr>
                <w:sz w:val="18"/>
              </w:rPr>
              <w:t>Personal Data Protection Policy</w:t>
            </w:r>
          </w:p>
        </w:tc>
        <w:tc>
          <w:tcPr>
            <w:tcW w:type="dxa" w:w="2551"/>
          </w:tcPr>
          <w:p>
            <w:pPr>
              <w:spacing w:after="40"/>
            </w:pPr>
            <w:r/>
            <w:r>
              <w:rPr>
                <w:sz w:val="18"/>
              </w:rPr>
              <w:t>LEG-POL-005</w:t>
            </w:r>
          </w:p>
        </w:tc>
      </w:tr>
      <w:tr>
        <w:tc>
          <w:tcPr>
            <w:tcW w:type="dxa" w:w="6803"/>
          </w:tcPr>
          <w:p>
            <w:pPr>
              <w:spacing w:after="40"/>
            </w:pPr>
            <w:r/>
            <w:r>
              <w:rPr>
                <w:sz w:val="18"/>
              </w:rPr>
              <w:t>Vigil Mechanism and Whistleblower Policy</w:t>
            </w:r>
          </w:p>
        </w:tc>
        <w:tc>
          <w:tcPr>
            <w:tcW w:type="dxa" w:w="2551"/>
          </w:tcPr>
          <w:p>
            <w:pPr>
              <w:spacing w:after="40"/>
            </w:pPr>
            <w:r/>
            <w:r>
              <w:rPr>
                <w:sz w:val="18"/>
              </w:rPr>
              <w:t>LEG-POL-002</w:t>
            </w:r>
          </w:p>
        </w:tc>
      </w:tr>
    </w:tbl>
    <w:p>
      <w:pPr>
        <w:spacing w:before="240" w:after="100"/>
      </w:pPr>
      <w:r>
        <w:rPr>
          <w:b/>
          <w:color w:val="12305A"/>
          <w:sz w:val="26"/>
        </w:rPr>
        <w:t>Annexure C — Documents Required on or Before Joining</w:t>
      </w:r>
    </w:p>
    <w:tbl>
      <w:tblPr>
        <w:tblStyle w:val="TableGrid"/>
        <w:tblW w:type="auto" w:w="0"/>
        <w:jc w:val="left"/>
        <w:tblLook w:firstColumn="1" w:firstRow="1" w:lastColumn="0" w:lastRow="0" w:noHBand="0" w:noVBand="1" w:val="04A0"/>
      </w:tblPr>
      <w:tblGrid>
        <w:gridCol w:w="3211"/>
        <w:gridCol w:w="3211"/>
        <w:gridCol w:w="3211"/>
      </w:tblGrid>
      <w:tr>
        <w:tc>
          <w:tcPr>
            <w:tcW w:type="dxa" w:w="567"/>
            <w:shd w:val="clear" w:fill="E8EDF4"/>
          </w:tcPr>
          <w:p>
            <w:pPr>
              <w:spacing w:after="40"/>
            </w:pPr>
            <w:r/>
            <w:r>
              <w:rPr>
                <w:b/>
                <w:sz w:val="18"/>
              </w:rPr>
              <w:t>#</w:t>
            </w:r>
          </w:p>
        </w:tc>
        <w:tc>
          <w:tcPr>
            <w:tcW w:type="dxa" w:w="6236"/>
            <w:shd w:val="clear" w:fill="E8EDF4"/>
          </w:tcPr>
          <w:p>
            <w:pPr>
              <w:spacing w:after="40"/>
            </w:pPr>
            <w:r/>
            <w:r>
              <w:rPr>
                <w:b/>
                <w:sz w:val="18"/>
              </w:rPr>
              <w:t>Document</w:t>
            </w:r>
          </w:p>
        </w:tc>
        <w:tc>
          <w:tcPr>
            <w:tcW w:type="dxa" w:w="2551"/>
            <w:shd w:val="clear" w:fill="E8EDF4"/>
          </w:tcPr>
          <w:p>
            <w:pPr>
              <w:spacing w:after="40"/>
            </w:pPr>
            <w:r/>
            <w:r>
              <w:rPr>
                <w:b/>
                <w:sz w:val="18"/>
              </w:rPr>
              <w:t>Deadline</w:t>
            </w:r>
          </w:p>
        </w:tc>
      </w:tr>
      <w:tr>
        <w:tc>
          <w:tcPr>
            <w:tcW w:type="dxa" w:w="567"/>
          </w:tcPr>
          <w:p>
            <w:pPr>
              <w:spacing w:after="40"/>
            </w:pPr>
            <w:r/>
            <w:r>
              <w:rPr>
                <w:sz w:val="18"/>
              </w:rPr>
              <w:t>1</w:t>
            </w:r>
          </w:p>
        </w:tc>
        <w:tc>
          <w:tcPr>
            <w:tcW w:type="dxa" w:w="6236"/>
          </w:tcPr>
          <w:p>
            <w:pPr>
              <w:spacing w:after="40"/>
            </w:pPr>
            <w:r/>
            <w:r>
              <w:rPr>
                <w:sz w:val="18"/>
              </w:rPr>
              <w:t>PAN card</w:t>
            </w:r>
          </w:p>
        </w:tc>
        <w:tc>
          <w:tcPr>
            <w:tcW w:type="dxa" w:w="2551"/>
          </w:tcPr>
          <w:p>
            <w:pPr>
              <w:spacing w:after="40"/>
            </w:pPr>
            <w:r/>
            <w:r>
              <w:rPr>
                <w:sz w:val="18"/>
              </w:rPr>
              <w:t>Before joining</w:t>
            </w:r>
          </w:p>
        </w:tc>
      </w:tr>
      <w:tr>
        <w:tc>
          <w:tcPr>
            <w:tcW w:type="dxa" w:w="567"/>
          </w:tcPr>
          <w:p>
            <w:pPr>
              <w:spacing w:after="40"/>
            </w:pPr>
            <w:r/>
            <w:r>
              <w:rPr>
                <w:sz w:val="18"/>
              </w:rPr>
              <w:t>2</w:t>
            </w:r>
          </w:p>
        </w:tc>
        <w:tc>
          <w:tcPr>
            <w:tcW w:type="dxa" w:w="6236"/>
          </w:tcPr>
          <w:p>
            <w:pPr>
              <w:spacing w:after="40"/>
            </w:pPr>
            <w:r/>
            <w:r>
              <w:rPr>
                <w:sz w:val="18"/>
              </w:rPr>
              <w:t>Aadhaar card (masked copy accepted)</w:t>
            </w:r>
          </w:p>
        </w:tc>
        <w:tc>
          <w:tcPr>
            <w:tcW w:type="dxa" w:w="2551"/>
          </w:tcPr>
          <w:p>
            <w:pPr>
              <w:spacing w:after="40"/>
            </w:pPr>
            <w:r/>
            <w:r>
              <w:rPr>
                <w:sz w:val="18"/>
              </w:rPr>
              <w:t>Before joining</w:t>
            </w:r>
          </w:p>
        </w:tc>
      </w:tr>
      <w:tr>
        <w:tc>
          <w:tcPr>
            <w:tcW w:type="dxa" w:w="567"/>
          </w:tcPr>
          <w:p>
            <w:pPr>
              <w:spacing w:after="40"/>
            </w:pPr>
            <w:r/>
            <w:r>
              <w:rPr>
                <w:sz w:val="18"/>
              </w:rPr>
              <w:t>3</w:t>
            </w:r>
          </w:p>
        </w:tc>
        <w:tc>
          <w:tcPr>
            <w:tcW w:type="dxa" w:w="6236"/>
          </w:tcPr>
          <w:p>
            <w:pPr>
              <w:spacing w:after="40"/>
            </w:pPr>
            <w:r/>
            <w:r>
              <w:rPr>
                <w:sz w:val="18"/>
              </w:rPr>
              <w:t>Passport-size photograph</w:t>
            </w:r>
          </w:p>
        </w:tc>
        <w:tc>
          <w:tcPr>
            <w:tcW w:type="dxa" w:w="2551"/>
          </w:tcPr>
          <w:p>
            <w:pPr>
              <w:spacing w:after="40"/>
            </w:pPr>
            <w:r/>
            <w:r>
              <w:rPr>
                <w:sz w:val="18"/>
              </w:rPr>
              <w:t>Before joining</w:t>
            </w:r>
          </w:p>
        </w:tc>
      </w:tr>
      <w:tr>
        <w:tc>
          <w:tcPr>
            <w:tcW w:type="dxa" w:w="567"/>
          </w:tcPr>
          <w:p>
            <w:pPr>
              <w:spacing w:after="40"/>
            </w:pPr>
            <w:r/>
            <w:r>
              <w:rPr>
                <w:sz w:val="18"/>
              </w:rPr>
              <w:t>4</w:t>
            </w:r>
          </w:p>
        </w:tc>
        <w:tc>
          <w:tcPr>
            <w:tcW w:type="dxa" w:w="6236"/>
          </w:tcPr>
          <w:p>
            <w:pPr>
              <w:spacing w:after="40"/>
            </w:pPr>
            <w:r/>
            <w:r>
              <w:rPr>
                <w:sz w:val="18"/>
              </w:rPr>
              <w:t>Highest education certificate and consolidated marksheet</w:t>
            </w:r>
          </w:p>
        </w:tc>
        <w:tc>
          <w:tcPr>
            <w:tcW w:type="dxa" w:w="2551"/>
          </w:tcPr>
          <w:p>
            <w:pPr>
              <w:spacing w:after="40"/>
            </w:pPr>
            <w:r/>
            <w:r>
              <w:rPr>
                <w:sz w:val="18"/>
              </w:rPr>
              <w:t>Before joining</w:t>
            </w:r>
          </w:p>
        </w:tc>
      </w:tr>
      <w:tr>
        <w:tc>
          <w:tcPr>
            <w:tcW w:type="dxa" w:w="567"/>
          </w:tcPr>
          <w:p>
            <w:pPr>
              <w:spacing w:after="40"/>
            </w:pPr>
            <w:r/>
            <w:r>
              <w:rPr>
                <w:sz w:val="18"/>
              </w:rPr>
              <w:t>5</w:t>
            </w:r>
          </w:p>
        </w:tc>
        <w:tc>
          <w:tcPr>
            <w:tcW w:type="dxa" w:w="6236"/>
          </w:tcPr>
          <w:p>
            <w:pPr>
              <w:spacing w:after="40"/>
            </w:pPr>
            <w:r/>
            <w:r>
              <w:rPr>
                <w:sz w:val="18"/>
              </w:rPr>
              <w:t>Experience letters from all employers in the last 7 years</w:t>
            </w:r>
          </w:p>
        </w:tc>
        <w:tc>
          <w:tcPr>
            <w:tcW w:type="dxa" w:w="2551"/>
          </w:tcPr>
          <w:p>
            <w:pPr>
              <w:spacing w:after="40"/>
            </w:pPr>
            <w:r/>
            <w:r>
              <w:rPr>
                <w:sz w:val="18"/>
              </w:rPr>
              <w:t>Before joining</w:t>
            </w:r>
          </w:p>
        </w:tc>
      </w:tr>
      <w:tr>
        <w:tc>
          <w:tcPr>
            <w:tcW w:type="dxa" w:w="567"/>
          </w:tcPr>
          <w:p>
            <w:pPr>
              <w:spacing w:after="40"/>
            </w:pPr>
            <w:r/>
            <w:r>
              <w:rPr>
                <w:sz w:val="18"/>
              </w:rPr>
              <w:t>6</w:t>
            </w:r>
          </w:p>
        </w:tc>
        <w:tc>
          <w:tcPr>
            <w:tcW w:type="dxa" w:w="6236"/>
          </w:tcPr>
          <w:p>
            <w:pPr>
              <w:spacing w:after="40"/>
            </w:pPr>
            <w:r/>
            <w:r>
              <w:rPr>
                <w:sz w:val="18"/>
              </w:rPr>
              <w:t>Last three months' salary slips from the most recent employer</w:t>
            </w:r>
          </w:p>
        </w:tc>
        <w:tc>
          <w:tcPr>
            <w:tcW w:type="dxa" w:w="2551"/>
          </w:tcPr>
          <w:p>
            <w:pPr>
              <w:spacing w:after="40"/>
            </w:pPr>
            <w:r/>
            <w:r>
              <w:rPr>
                <w:sz w:val="18"/>
              </w:rPr>
              <w:t>Before joining</w:t>
            </w:r>
          </w:p>
        </w:tc>
      </w:tr>
      <w:tr>
        <w:tc>
          <w:tcPr>
            <w:tcW w:type="dxa" w:w="567"/>
          </w:tcPr>
          <w:p>
            <w:pPr>
              <w:spacing w:after="40"/>
            </w:pPr>
            <w:r/>
            <w:r>
              <w:rPr>
                <w:sz w:val="18"/>
              </w:rPr>
              <w:t>7</w:t>
            </w:r>
          </w:p>
        </w:tc>
        <w:tc>
          <w:tcPr>
            <w:tcW w:type="dxa" w:w="6236"/>
          </w:tcPr>
          <w:p>
            <w:pPr>
              <w:spacing w:after="40"/>
            </w:pPr>
            <w:r/>
            <w:r>
              <w:rPr>
                <w:sz w:val="18"/>
              </w:rPr>
              <w:t>Cancelled cheque or bank statement header</w:t>
            </w:r>
          </w:p>
        </w:tc>
        <w:tc>
          <w:tcPr>
            <w:tcW w:type="dxa" w:w="2551"/>
          </w:tcPr>
          <w:p>
            <w:pPr>
              <w:spacing w:after="40"/>
            </w:pPr>
            <w:r/>
            <w:r>
              <w:rPr>
                <w:sz w:val="18"/>
              </w:rPr>
              <w:t>Before joining</w:t>
            </w:r>
          </w:p>
        </w:tc>
      </w:tr>
      <w:tr>
        <w:tc>
          <w:tcPr>
            <w:tcW w:type="dxa" w:w="567"/>
          </w:tcPr>
          <w:p>
            <w:pPr>
              <w:spacing w:after="40"/>
            </w:pPr>
            <w:r/>
            <w:r>
              <w:rPr>
                <w:sz w:val="18"/>
              </w:rPr>
              <w:t>8</w:t>
            </w:r>
          </w:p>
        </w:tc>
        <w:tc>
          <w:tcPr>
            <w:tcW w:type="dxa" w:w="6236"/>
          </w:tcPr>
          <w:p>
            <w:pPr>
              <w:spacing w:after="40"/>
            </w:pPr>
            <w:r/>
            <w:r>
              <w:rPr>
                <w:sz w:val="18"/>
              </w:rPr>
              <w:t>Address proof — current and permanent</w:t>
            </w:r>
          </w:p>
        </w:tc>
        <w:tc>
          <w:tcPr>
            <w:tcW w:type="dxa" w:w="2551"/>
          </w:tcPr>
          <w:p>
            <w:pPr>
              <w:spacing w:after="40"/>
            </w:pPr>
            <w:r/>
            <w:r>
              <w:rPr>
                <w:sz w:val="18"/>
              </w:rPr>
              <w:t>Before joining</w:t>
            </w:r>
          </w:p>
        </w:tc>
      </w:tr>
      <w:tr>
        <w:tc>
          <w:tcPr>
            <w:tcW w:type="dxa" w:w="567"/>
          </w:tcPr>
          <w:p>
            <w:pPr>
              <w:spacing w:after="40"/>
            </w:pPr>
            <w:r/>
            <w:r>
              <w:rPr>
                <w:sz w:val="18"/>
              </w:rPr>
              <w:t>9</w:t>
            </w:r>
          </w:p>
        </w:tc>
        <w:tc>
          <w:tcPr>
            <w:tcW w:type="dxa" w:w="6236"/>
          </w:tcPr>
          <w:p>
            <w:pPr>
              <w:spacing w:after="40"/>
            </w:pPr>
            <w:r/>
            <w:r>
              <w:rPr>
                <w:sz w:val="18"/>
              </w:rPr>
              <w:t>UAN and PF member ID, if any</w:t>
            </w:r>
          </w:p>
        </w:tc>
        <w:tc>
          <w:tcPr>
            <w:tcW w:type="dxa" w:w="2551"/>
          </w:tcPr>
          <w:p>
            <w:pPr>
              <w:spacing w:after="40"/>
            </w:pPr>
            <w:r/>
            <w:r>
              <w:rPr>
                <w:sz w:val="18"/>
              </w:rPr>
              <w:t>Before joining</w:t>
            </w:r>
          </w:p>
        </w:tc>
      </w:tr>
      <w:tr>
        <w:tc>
          <w:tcPr>
            <w:tcW w:type="dxa" w:w="567"/>
          </w:tcPr>
          <w:p>
            <w:pPr>
              <w:spacing w:after="40"/>
            </w:pPr>
            <w:r/>
            <w:r>
              <w:rPr>
                <w:sz w:val="18"/>
              </w:rPr>
              <w:t>10</w:t>
            </w:r>
          </w:p>
        </w:tc>
        <w:tc>
          <w:tcPr>
            <w:tcW w:type="dxa" w:w="6236"/>
          </w:tcPr>
          <w:p>
            <w:pPr>
              <w:spacing w:after="40"/>
            </w:pPr>
            <w:r/>
            <w:r>
              <w:rPr>
                <w:sz w:val="18"/>
              </w:rPr>
              <w:t>Relieving letter from the most recent employer</w:t>
            </w:r>
          </w:p>
        </w:tc>
        <w:tc>
          <w:tcPr>
            <w:tcW w:type="dxa" w:w="2551"/>
          </w:tcPr>
          <w:p>
            <w:pPr>
              <w:spacing w:after="40"/>
            </w:pPr>
            <w:r/>
            <w:r>
              <w:rPr>
                <w:sz w:val="18"/>
              </w:rPr>
              <w:t>Within 30 days of joining</w:t>
            </w:r>
          </w:p>
        </w:tc>
      </w:tr>
      <w:tr>
        <w:tc>
          <w:tcPr>
            <w:tcW w:type="dxa" w:w="567"/>
          </w:tcPr>
          <w:p>
            <w:pPr>
              <w:spacing w:after="40"/>
            </w:pPr>
            <w:r/>
            <w:r>
              <w:rPr>
                <w:sz w:val="18"/>
              </w:rPr>
              <w:t>11</w:t>
            </w:r>
          </w:p>
        </w:tc>
        <w:tc>
          <w:tcPr>
            <w:tcW w:type="dxa" w:w="6236"/>
          </w:tcPr>
          <w:p>
            <w:pPr>
              <w:spacing w:after="40"/>
            </w:pPr>
            <w:r/>
            <w:r>
              <w:rPr>
                <w:sz w:val="18"/>
              </w:rPr>
              <w:t>Form 12B with the previous employer's tax computation</w:t>
            </w:r>
          </w:p>
        </w:tc>
        <w:tc>
          <w:tcPr>
            <w:tcW w:type="dxa" w:w="2551"/>
          </w:tcPr>
          <w:p>
            <w:pPr>
              <w:spacing w:after="40"/>
            </w:pPr>
            <w:r/>
            <w:r>
              <w:rPr>
                <w:sz w:val="18"/>
              </w:rPr>
              <w:t>Within 30 days of joining</w:t>
            </w:r>
          </w:p>
        </w:tc>
      </w:tr>
      <w:tr>
        <w:tc>
          <w:tcPr>
            <w:tcW w:type="dxa" w:w="567"/>
          </w:tcPr>
          <w:p>
            <w:pPr>
              <w:spacing w:after="40"/>
            </w:pPr>
            <w:r/>
            <w:r>
              <w:rPr>
                <w:sz w:val="18"/>
              </w:rPr>
              <w:t>12</w:t>
            </w:r>
          </w:p>
        </w:tc>
        <w:tc>
          <w:tcPr>
            <w:tcW w:type="dxa" w:w="6236"/>
          </w:tcPr>
          <w:p>
            <w:pPr>
              <w:spacing w:after="40"/>
            </w:pPr>
            <w:r/>
            <w:r>
              <w:rPr>
                <w:sz w:val="18"/>
              </w:rPr>
              <w:t>Dependant details for insurance enrolment</w:t>
            </w:r>
          </w:p>
        </w:tc>
        <w:tc>
          <w:tcPr>
            <w:tcW w:type="dxa" w:w="2551"/>
          </w:tcPr>
          <w:p>
            <w:pPr>
              <w:spacing w:after="40"/>
            </w:pPr>
            <w:r/>
            <w:r>
              <w:rPr>
                <w:sz w:val="18"/>
              </w:rPr>
              <w:t>Within 30 days of joining</w:t>
            </w:r>
          </w:p>
        </w:tc>
      </w:tr>
      <w:tr>
        <w:tc>
          <w:tcPr>
            <w:tcW w:type="dxa" w:w="567"/>
          </w:tcPr>
          <w:p>
            <w:pPr>
              <w:spacing w:after="40"/>
            </w:pPr>
            <w:r/>
            <w:r>
              <w:rPr>
                <w:sz w:val="18"/>
              </w:rPr>
              <w:t>13</w:t>
            </w:r>
          </w:p>
        </w:tc>
        <w:tc>
          <w:tcPr>
            <w:tcW w:type="dxa" w:w="6236"/>
          </w:tcPr>
          <w:p>
            <w:pPr>
              <w:spacing w:after="40"/>
            </w:pPr>
            <w:r/>
            <w:r>
              <w:rPr>
                <w:sz w:val="18"/>
              </w:rPr>
              <w:t>Nomination forms — PF Form 2, Gratuity Form F, GTL nomination</w:t>
            </w:r>
          </w:p>
        </w:tc>
        <w:tc>
          <w:tcPr>
            <w:tcW w:type="dxa" w:w="2551"/>
          </w:tcPr>
          <w:p>
            <w:pPr>
              <w:spacing w:after="40"/>
            </w:pPr>
            <w:r/>
            <w:r>
              <w:rPr>
                <w:sz w:val="18"/>
              </w:rPr>
              <w:t>Within 30 days of joining</w:t>
            </w:r>
          </w:p>
        </w:tc>
      </w:tr>
      <w:tr>
        <w:tc>
          <w:tcPr>
            <w:tcW w:type="dxa" w:w="567"/>
          </w:tcPr>
          <w:p>
            <w:pPr>
              <w:spacing w:after="40"/>
            </w:pPr>
            <w:r/>
            <w:r>
              <w:rPr>
                <w:sz w:val="18"/>
              </w:rPr>
              <w:t>14</w:t>
            </w:r>
          </w:p>
        </w:tc>
        <w:tc>
          <w:tcPr>
            <w:tcW w:type="dxa" w:w="6236"/>
          </w:tcPr>
          <w:p>
            <w:pPr>
              <w:spacing w:after="40"/>
            </w:pPr>
            <w:r/>
            <w:r>
              <w:rPr>
                <w:sz w:val="18"/>
              </w:rPr>
              <w:t>Passport, if held</w:t>
            </w:r>
          </w:p>
        </w:tc>
        <w:tc>
          <w:tcPr>
            <w:tcW w:type="dxa" w:w="2551"/>
          </w:tcPr>
          <w:p>
            <w:pPr>
              <w:spacing w:after="40"/>
            </w:pPr>
            <w:r/>
            <w:r>
              <w:rPr>
                <w:sz w:val="18"/>
              </w:rPr>
              <w:t>Within 30 days of joining</w:t>
            </w:r>
          </w:p>
        </w:tc>
      </w:tr>
    </w:tbl>
    <w:p>
      <w:pPr>
        <w:spacing w:before="240" w:after="100"/>
      </w:pPr>
      <w:r>
        <w:rPr>
          <w:b/>
          <w:color w:val="12305A"/>
          <w:sz w:val="26"/>
        </w:rPr>
        <w:t>Annexure D — Declarations by the Candidate</w:t>
      </w:r>
    </w:p>
    <w:p>
      <w:pPr>
        <w:spacing w:after="80"/>
      </w:pPr>
      <w:r>
        <w:rPr>
          <w:b w:val="0"/>
          <w:i w:val="0"/>
          <w:sz w:val="21"/>
        </w:rPr>
        <w:t>I declare that:</w:t>
      </w:r>
    </w:p>
    <w:p>
      <w:pPr>
        <w:pStyle w:val="ListBullet"/>
      </w:pPr>
      <w:r>
        <w:rPr>
          <w:sz w:val="20"/>
        </w:rPr>
        <w:t>the information I have provided during the selection process is true, complete and not misleading in any respect;</w:t>
      </w:r>
    </w:p>
    <w:p>
      <w:pPr>
        <w:pStyle w:val="ListBullet"/>
      </w:pPr>
      <w:r>
        <w:rPr>
          <w:sz w:val="20"/>
        </w:rPr>
        <w:t>I am not subject to any non-compete, non-solicitation, notice or other obligation to a former employer that would prevent or restrict my employment with Nexora Technologies Private Limited, save as disclosed in writing;</w:t>
      </w:r>
    </w:p>
    <w:p>
      <w:pPr>
        <w:pStyle w:val="ListBullet"/>
      </w:pPr>
      <w:r>
        <w:rPr>
          <w:sz w:val="20"/>
        </w:rPr>
        <w:t>I have not been convicted of any offence, nor is any criminal proceeding pending against me, save as disclosed in writing;</w:t>
      </w:r>
    </w:p>
    <w:p>
      <w:pPr>
        <w:pStyle w:val="ListBullet"/>
      </w:pPr>
      <w:r>
        <w:rPr>
          <w:sz w:val="20"/>
        </w:rPr>
        <w:t>I will not bring to Nexora, disclose to it, or use in my work, any confidential information belonging to a former employer or any other party;</w:t>
      </w:r>
    </w:p>
    <w:p>
      <w:pPr>
        <w:pStyle w:val="ListBullet"/>
      </w:pPr>
      <w:r>
        <w:rPr>
          <w:sz w:val="20"/>
        </w:rPr>
        <w:t>I consent to background verification being conducted on the Company's behalf, including verification of my employment, education, address and criminal record;</w:t>
      </w:r>
    </w:p>
    <w:p>
      <w:pPr>
        <w:pStyle w:val="ListBullet"/>
      </w:pPr>
      <w:r>
        <w:rPr>
          <w:sz w:val="20"/>
        </w:rPr>
        <w:t>I consent to the processing of my personal data by the Company for employment purposes in accordance with the Personal Data Protection Policy (LEG-POL-005) and the Digital Personal Data Protection Act, 2023.</w:t>
      </w:r>
    </w:p>
    <w:p>
      <w:pPr>
        <w:spacing w:after="280"/>
      </w:pPr>
      <w:r>
        <w:rPr>
          <w:b w:val="0"/>
          <w:i w:val="0"/>
          <w:sz w:val="21"/>
        </w:rPr>
      </w:r>
    </w:p>
    <w:p>
      <w:pPr>
        <w:spacing w:after="120"/>
      </w:pPr>
      <w:r>
        <w:rPr>
          <w:b w:val="0"/>
          <w:i w:val="0"/>
          <w:sz w:val="21"/>
        </w:rPr>
        <w:t>Signature: ______________________________     Date: ____________________</w:t>
      </w:r>
    </w:p>
    <w:p>
      <w:pPr>
        <w:spacing w:after="140"/>
      </w:pPr>
      <w:r>
        <w:rPr>
          <w:b w:val="0"/>
          <w:i w:val="0"/>
          <w:sz w:val="21"/>
        </w:rPr>
        <w:t>Name: {{CANDIDATE_NAME}}          Place: ____________________</w:t>
      </w:r>
    </w:p>
    <w:p>
      <w:pPr>
        <w:spacing w:after="280"/>
      </w:pPr>
      <w:r>
        <w:rPr>
          <w:b w:val="0"/>
          <w:i w:val="0"/>
          <w:sz w:val="21"/>
        </w:rPr>
      </w:r>
    </w:p>
    <w:p>
      <w:pPr>
        <w:spacing w:after="140"/>
        <w:jc w:val="center"/>
      </w:pPr>
      <w:r>
        <w:rPr>
          <w:b w:val="0"/>
          <w:i/>
          <w:sz w:val="16"/>
        </w:rPr>
        <w:t>Nexora Technologies Private Limited — Confidential — Internal Use Only — Template HR-TPL-014 v3.2 — reviewed by Legal &amp; Compliance on 14 February 2026</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5"/>
      </w:rPr>
      <w:t>Confidential — Internal Use Only  ·  Template HR-TPL-014 v3.2  ·  Do not alter without Legal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F6D"/>
        <w:sz w:val="15"/>
      </w:rPr>
      <w:t>Nexora Technologies Private Limited  |  CIN U72200HR2011PTC043117  |  Nexora Tower, Sector 44, Gurugram 122003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Appointment - Template HR-TPL-014</dc:title>
  <dc:subject>Offer letter template (permanent, India)</dc:subject>
  <dc:creator>HR Operations, Nexora Technologies</dc:creator>
  <cp:keywords/>
  <dc:description>Merge fields populated from PeopleHub at generation.</dc:description>
  <cp:lastModifiedBy>Farhan Qureshi (Legal &amp; Compliance review)</cp:lastModifiedBy>
  <cp:revision>32</cp:revision>
  <dcterms:created xsi:type="dcterms:W3CDTF">2026-02-14T11:05:00Z</dcterms:created>
  <dcterms:modified xsi:type="dcterms:W3CDTF">2026-02-14T16:42:00Z</dcterms:modified>
  <cp:category>Confidential — Internal Use Only</cp:category>
</cp:coreProperties>
</file>