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esqb9u7n3t0" w:id="0"/>
      <w:bookmarkEnd w:id="0"/>
      <w:r w:rsidDel="00000000" w:rsidR="00000000" w:rsidRPr="00000000">
        <w:rPr>
          <w:b w:val="1"/>
          <w:bCs w:val="1"/>
          <w:sz w:val="34"/>
          <w:szCs w:val="34"/>
          <w:rtl w:val="0"/>
        </w:rPr>
        <w:t xml:space="preserve">One-line conclusion you can directly use</w:t>
      </w:r>
    </w:p>
    <w:p w:rsidR="00000000" w:rsidDel="00000000" w:rsidP="00000000" w:rsidRDefault="00000000" w:rsidRPr="00000000" w14:paraId="00000003">
      <w:pPr>
        <w:spacing w:after="240" w:before="240" w:lineRule="auto"/>
        <w:ind w:left="600" w:right="600" w:firstLine="0"/>
        <w:rPr>
          <w:i w:val="1"/>
          <w:iCs w:val="1"/>
        </w:rPr>
      </w:pPr>
      <w:r w:rsidDel="00000000" w:rsidR="00000000" w:rsidRPr="00000000">
        <w:rPr>
          <w:i w:val="1"/>
          <w:iCs w:val="1"/>
          <w:rtl w:val="0"/>
        </w:rPr>
        <w:t xml:space="preserve">“Although SMOTE significantly improved recall for linear models, Gradient Boosting with threshold optimisation on imbalanced data achieved the best overall balance between recall and accuracy, making it the most suitable model for stroke risk prediction.”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“Although Gradient Boosting demonstrated strong discriminative ability (ROC-AUC ≈ 0.84), threshold optimisation performed strictly on the training data resulted in a conservative operating point with low recall. Logistic Regression, by contrast, achieved substantially higher recall without reliance on synthetic oversampling, making it more suitable for the intended screening objective.”</w:t>
      </w:r>
    </w:p>
    <w:p w:rsidR="00000000" w:rsidDel="00000000" w:rsidP="00000000" w:rsidRDefault="00000000" w:rsidRPr="00000000" w14:paraId="00000007">
      <w:pPr>
        <w:spacing w:after="240" w:before="240" w:lineRule="auto"/>
        <w:ind w:left="600" w:right="600" w:firstLine="0"/>
        <w:rPr>
          <w:i w:val="1"/>
          <w:iCs w:val="1"/>
        </w:rPr>
      </w:pPr>
      <w:r w:rsidDel="00000000" w:rsidR="00000000" w:rsidRPr="00000000">
        <w:rPr>
          <w:i w:val="1"/>
          <w:iCs w:val="1"/>
          <w:rtl w:val="0"/>
        </w:rPr>
        <w:t xml:space="preserve">“While Logistic Regression with SMOTE achieved the highest recall, the non-SMOTE Logistic Regression model provided the best overall trade-off between recall, accuracy, and methodological robustness, and was therefore selected as the final model.”</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