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D1B2A"/>
          <w:sz w:val="56"/>
        </w:rPr>
        <w:t>Is the Attacker Data Real Enough to Trust?</w:t>
      </w:r>
    </w:p>
    <w:p>
      <w:pPr>
        <w:jc w:val="center"/>
      </w:pPr>
      <w:r>
        <w:rPr>
          <w:color w:val="1B4F72"/>
          <w:sz w:val="28"/>
        </w:rPr>
        <w:t>Proving Synthetic Intruder Realism — and Showing the Detection, Step by Step</w:t>
      </w:r>
    </w:p>
    <w:p/>
    <w:p>
      <w:pPr>
        <w:jc w:val="center"/>
      </w:pPr>
      <w:r>
        <w:rPr>
          <w:color w:val="444444"/>
          <w:sz w:val="24"/>
        </w:rPr>
        <w:t>22nd Century Technologies, Inc.  ·  V-Intelligence UEBA Program</w:t>
        <w:br/>
        <w:t>June 2026  ·  Business Edition — Verification Companion</w:t>
      </w:r>
    </w:p>
    <w:p/>
    <w:p>
      <w:pPr>
        <w:jc w:val="center"/>
      </w:pPr>
      <w:r>
        <w:rPr>
          <w:i/>
          <w:color w:val="444444"/>
          <w:sz w:val="19"/>
        </w:rPr>
        <w:t>Data note: every number in this paper is measured from a synthetic (simulated) dataset — 250 users, 485 days, ~15 million events across five log sources, with four embedded attack campaigns. Synthetic data lets us prove the concept with a known ground truth: we know exactly who the attackers are, so we can measure whether detection works and whether the attackers were genuinely hard to find.</w:t>
      </w:r>
    </w:p>
    <w:p>
      <w:r>
        <w:br w:type="page"/>
      </w:r>
    </w:p>
    <w:p>
      <w:pPr>
        <w:pStyle w:val="Heading1"/>
      </w:pPr>
      <w:r>
        <w:rPr>
          <w:color w:val="0D1B2A"/>
        </w:rPr>
        <w:t>Contents</w:t>
      </w:r>
    </w:p>
    <w:p>
      <w:pPr>
        <w:spacing w:after="40"/>
      </w:pPr>
      <w:r>
        <w:rPr>
          <w:color w:val="0D1B2A"/>
          <w:sz w:val="21"/>
        </w:rPr>
        <w:t>1. Executive Summary</w:t>
      </w:r>
    </w:p>
    <w:p>
      <w:pPr>
        <w:spacing w:after="40"/>
      </w:pPr>
      <w:r>
        <w:rPr>
          <w:color w:val="0D1B2A"/>
          <w:sz w:val="21"/>
        </w:rPr>
        <w:t>2. Why Realistic Attacker Data Matters</w:t>
      </w:r>
    </w:p>
    <w:p>
      <w:pPr>
        <w:spacing w:after="40"/>
      </w:pPr>
      <w:r>
        <w:rPr>
          <w:color w:val="0D1B2A"/>
          <w:sz w:val="21"/>
        </w:rPr>
        <w:t>3. Proof 1 — Statistical Twins: the attacker looks normal in aggregate</w:t>
      </w:r>
    </w:p>
    <w:p>
      <w:pPr>
        <w:spacing w:after="40"/>
      </w:pPr>
      <w:r>
        <w:rPr>
          <w:color w:val="0D1B2A"/>
          <w:sz w:val="21"/>
        </w:rPr>
        <w:t>4. Proof 2 — Raw Telemetry: the C2 beacon buried in plain traffic</w:t>
      </w:r>
    </w:p>
    <w:p>
      <w:pPr>
        <w:spacing w:after="40"/>
      </w:pPr>
      <w:r>
        <w:rPr>
          <w:color w:val="0D1B2A"/>
          <w:sz w:val="21"/>
        </w:rPr>
        <w:t>5. Proof 3 — The Digital Entity: behavior turned into a profile</w:t>
      </w:r>
    </w:p>
    <w:p>
      <w:pPr>
        <w:spacing w:after="40"/>
      </w:pPr>
      <w:r>
        <w:rPr>
          <w:color w:val="0D1B2A"/>
          <w:sz w:val="21"/>
        </w:rPr>
        <w:t>6. Proof 4 — Cumulative Drift (CUSUM): small changes that add up</w:t>
      </w:r>
    </w:p>
    <w:p>
      <w:pPr>
        <w:spacing w:after="40"/>
      </w:pPr>
      <w:r>
        <w:rPr>
          <w:color w:val="0D1B2A"/>
          <w:sz w:val="21"/>
        </w:rPr>
        <w:t>7. Proof 5 — Cohort Comparison: the attacker vs. their role peers</w:t>
      </w:r>
    </w:p>
    <w:p>
      <w:pPr>
        <w:spacing w:after="40"/>
      </w:pPr>
      <w:r>
        <w:rPr>
          <w:color w:val="0D1B2A"/>
          <w:sz w:val="21"/>
        </w:rPr>
        <w:t>8. The Detection Outcome: 4 of 4, where traditional gets 0–1</w:t>
      </w:r>
    </w:p>
    <w:p>
      <w:pPr>
        <w:spacing w:after="40"/>
      </w:pPr>
      <w:r>
        <w:rPr>
          <w:color w:val="0D1B2A"/>
          <w:sz w:val="21"/>
        </w:rPr>
        <w:t>9. Testing &amp; Validation</w:t>
      </w:r>
    </w:p>
    <w:p>
      <w:pPr>
        <w:spacing w:after="40"/>
      </w:pPr>
      <w:r>
        <w:rPr>
          <w:color w:val="0D1B2A"/>
          <w:sz w:val="21"/>
        </w:rPr>
        <w:t>10. How to Reproduce This Live</w:t>
      </w:r>
    </w:p>
    <w:p>
      <w:pPr>
        <w:spacing w:after="40"/>
      </w:pPr>
      <w:r>
        <w:rPr>
          <w:color w:val="0D1B2A"/>
          <w:sz w:val="21"/>
        </w:rPr>
        <w:t>11. Conclusion</w:t>
      </w:r>
    </w:p>
    <w:p>
      <w:r>
        <w:br w:type="page"/>
      </w:r>
    </w:p>
    <w:p>
      <w:pPr>
        <w:pStyle w:val="Heading1"/>
      </w:pPr>
      <w:r>
        <w:rPr>
          <w:color w:val="0D1B2A"/>
        </w:rPr>
        <w:t>1. Executive Summary</w:t>
      </w:r>
    </w:p>
    <w:p>
      <w:pPr>
        <w:spacing w:after="120"/>
      </w:pPr>
      <w:r>
        <w:rPr>
          <w:b w:val="0"/>
          <w:i w:val="0"/>
          <w:color w:val="000000"/>
          <w:sz w:val="21"/>
        </w:rPr>
        <w:t>A detection result is only as credible as the data behind it. If the simulated attackers were obvious — spiking traffic, failing logins, dumping files — then catching them would prove nothing. The entire value of this work rests on a claim that must be demonstrated, not asserted: the attackers were engineered to be genuinely hard to find, hiding within normal behavior the way real nation-state campaigns did for years.</w:t>
      </w:r>
    </w:p>
    <w:p>
      <w:pPr>
        <w:spacing w:after="120"/>
      </w:pPr>
      <w:r>
        <w:rPr>
          <w:b w:val="0"/>
          <w:i w:val="0"/>
          <w:color w:val="000000"/>
          <w:sz w:val="21"/>
        </w:rPr>
        <w:t>This companion paper proves that claim with measured evidence, then shows the detection working step by step. Five independent verifications:</w:t>
      </w:r>
    </w:p>
    <w:p>
      <w:pPr>
        <w:pStyle w:val="ListBullet"/>
      </w:pPr>
      <w:r>
        <w:rPr>
          <w:b/>
          <w:sz w:val="21"/>
        </w:rPr>
        <w:t xml:space="preserve">Statistical twins. </w:t>
      </w:r>
      <w:r>
        <w:rPr>
          <w:sz w:val="21"/>
        </w:rPr>
        <w:t>At the aggregate level, the hardest attacker is statistically indistinguishable from a normal user — on several measures the attacker is actually quieter.</w:t>
      </w:r>
    </w:p>
    <w:p>
      <w:pPr>
        <w:pStyle w:val="ListBullet"/>
      </w:pPr>
      <w:r>
        <w:rPr>
          <w:b/>
          <w:sz w:val="21"/>
        </w:rPr>
        <w:t xml:space="preserve">Raw telemetry. </w:t>
      </w:r>
      <w:r>
        <w:rPr>
          <w:sz w:val="21"/>
        </w:rPr>
        <w:t>The command-and-control beacon moves 120–487 bytes per day — roughly 380,000 times smaller than the single largest ordinary network flow on the same day.</w:t>
      </w:r>
    </w:p>
    <w:p>
      <w:pPr>
        <w:pStyle w:val="ListBullet"/>
      </w:pPr>
      <w:r>
        <w:rPr>
          <w:b/>
          <w:sz w:val="21"/>
        </w:rPr>
        <w:t xml:space="preserve">Digital entity. </w:t>
      </w:r>
      <w:r>
        <w:rPr>
          <w:sz w:val="21"/>
        </w:rPr>
        <w:t>Each user's weekly behavior is turned into a five-zone digital profile; the attacker's profile reads as ordinary until you track its direction over time.</w:t>
      </w:r>
    </w:p>
    <w:p>
      <w:pPr>
        <w:pStyle w:val="ListBullet"/>
      </w:pPr>
      <w:r>
        <w:rPr>
          <w:b/>
          <w:sz w:val="21"/>
        </w:rPr>
        <w:t xml:space="preserve">Cumulative drift. </w:t>
      </w:r>
      <w:r>
        <w:rPr>
          <w:sz w:val="21"/>
        </w:rPr>
        <w:t>Tiny weekly behavioral changes — none alarming alone — accumulate for every attacker and reset for normal users.</w:t>
      </w:r>
    </w:p>
    <w:p>
      <w:pPr>
        <w:pStyle w:val="ListBullet"/>
      </w:pPr>
      <w:r>
        <w:rPr>
          <w:b/>
          <w:sz w:val="21"/>
        </w:rPr>
        <w:t xml:space="preserve">Cohort comparison. </w:t>
      </w:r>
      <w:r>
        <w:rPr>
          <w:sz w:val="21"/>
        </w:rPr>
        <w:t>Measured against 62 role peers, the attacker sits inside the normal range on raw volume; only behavioral direction separates it.</w:t>
      </w:r>
    </w:p>
    <w:p>
      <w:pPr>
        <w:pBdr>
          <w:left w:val="single" w:sz="24" w:space="12" w:color="0E6B8A"/>
        </w:pBdr>
        <w:shd w:fill="EAF4F7" w:val="clear"/>
        <w:spacing w:before="160" w:after="160"/>
      </w:pPr>
      <w:r>
        <w:rPr>
          <w:b/>
          <w:color w:val="0D1B2A"/>
          <w:sz w:val="21"/>
        </w:rPr>
        <w:t>Bottom line: the attackers are realistic precisely because they are invisible to volume-based measures — proven here with numbers — and V-Intelligence UEBA still ranks all four in the top 12% of 250 users at a 10.6% false-positive rate, where four standard algorithms detect at most one.</w:t>
      </w:r>
    </w:p>
    <w:p>
      <w:r>
        <w:br w:type="page"/>
      </w:r>
    </w:p>
    <w:p>
      <w:pPr>
        <w:pStyle w:val="Heading1"/>
      </w:pPr>
      <w:r>
        <w:rPr>
          <w:color w:val="0D1B2A"/>
        </w:rPr>
        <w:t>2. Why Realistic Attacker Data Matters</w:t>
      </w:r>
    </w:p>
    <w:p>
      <w:pPr>
        <w:spacing w:after="120"/>
      </w:pPr>
      <w:r>
        <w:rPr>
          <w:b w:val="0"/>
          <w:i w:val="0"/>
          <w:color w:val="000000"/>
          <w:sz w:val="21"/>
        </w:rPr>
        <w:t>Security vendors routinely demonstrate detection on data where the attack is loud. An obvious attack proves only that an alarm fires when something obvious happens — which is exactly the case real adversaries are built to avoid. The threats that actually cause strategic damage (Volt Typhoon, Salt Typhoon, long-running insiders) succeed by staying under every threshold.</w:t>
      </w:r>
    </w:p>
    <w:p>
      <w:pPr>
        <w:spacing w:after="120"/>
      </w:pPr>
      <w:r>
        <w:rPr>
          <w:b w:val="0"/>
          <w:i w:val="0"/>
          <w:color w:val="000000"/>
          <w:sz w:val="21"/>
        </w:rPr>
        <w:t>So before trusting any detection claim, the question is: were the simulated attackers actually hard to find? If a simple rule would have caught them, the result is theater. This paper answers that question directly, with five verifications that anyone can reproduce against the same dataset. Each is shown side by side: the attacker against a normal user, and the attacker against their peer group.</w:t>
      </w:r>
    </w:p>
    <w:p>
      <w:pPr>
        <w:spacing w:after="120"/>
      </w:pPr>
      <w:r>
        <w:rPr>
          <w:b w:val="0"/>
          <w:i w:val="0"/>
          <w:color w:val="000000"/>
          <w:sz w:val="21"/>
        </w:rPr>
        <w:t>Throughout, the worked example is USR-234 — the simulated slow APT, the single hardest case in the dataset. It runs a command-and-control beacon and stages data over 180+ days while keeping every weekly metric within normal range. If realism holds for USR-234, it holds for the easier cases.</w:t>
      </w:r>
    </w:p>
    <w:p>
      <w:r>
        <w:br w:type="page"/>
      </w:r>
    </w:p>
    <w:p>
      <w:pPr>
        <w:pStyle w:val="Heading1"/>
      </w:pPr>
      <w:r>
        <w:rPr>
          <w:color w:val="0D1B2A"/>
        </w:rPr>
        <w:t>3. Proof 1 — Statistical Twins</w:t>
      </w:r>
    </w:p>
    <w:p>
      <w:pPr>
        <w:spacing w:after="120"/>
      </w:pPr>
      <w:r>
        <w:rPr>
          <w:b w:val="0"/>
          <w:i w:val="0"/>
          <w:color w:val="000000"/>
          <w:sz w:val="21"/>
        </w:rPr>
        <w:t>The first test is the simplest: compare the attacker's weekly averages to an ordinary user's. If the attacker is realistic, the two should look like twins. They do. The table below compares USR-234 (the slow APT) with USR-001 (a normal user), averaged across all weeks.</w:t>
      </w:r>
    </w:p>
    <w:tbl>
      <w:tblPr>
        <w:tblStyle w:val="LightGrid-Accent1"/>
        <w:tblW w:type="auto" w:w="0"/>
        <w:jc w:val="center"/>
        <w:tblLook w:firstColumn="1" w:firstRow="1" w:lastColumn="0" w:lastRow="0" w:noHBand="0" w:noVBand="1" w:val="04A0"/>
      </w:tblPr>
      <w:tblGrid>
        <w:gridCol w:w="2408"/>
        <w:gridCol w:w="2408"/>
        <w:gridCol w:w="2408"/>
        <w:gridCol w:w="2408"/>
      </w:tblGrid>
      <w:tr>
        <w:tc>
          <w:tcPr>
            <w:tcW w:type="dxa" w:w="3168"/>
            <w:shd w:fill="0D1B2A"/>
          </w:tcPr>
          <w:p>
            <w:pPr>
              <w:jc w:val="center"/>
            </w:pPr>
            <w:r>
              <w:rPr>
                <w:b/>
                <w:color w:val="FFFFFF"/>
                <w:sz w:val="18"/>
              </w:rPr>
              <w:t>Weekly measure</w:t>
            </w:r>
          </w:p>
        </w:tc>
        <w:tc>
          <w:tcPr>
            <w:tcW w:type="dxa" w:w="2448"/>
            <w:shd w:fill="0D1B2A"/>
          </w:tcPr>
          <w:p>
            <w:pPr>
              <w:jc w:val="center"/>
            </w:pPr>
            <w:r>
              <w:rPr>
                <w:b/>
                <w:color w:val="FFFFFF"/>
                <w:sz w:val="18"/>
              </w:rPr>
              <w:t>USR-234 (attacker)</w:t>
            </w:r>
          </w:p>
        </w:tc>
        <w:tc>
          <w:tcPr>
            <w:tcW w:type="dxa" w:w="2160"/>
            <w:shd w:fill="0D1B2A"/>
          </w:tcPr>
          <w:p>
            <w:pPr>
              <w:jc w:val="center"/>
            </w:pPr>
            <w:r>
              <w:rPr>
                <w:b/>
                <w:color w:val="FFFFFF"/>
                <w:sz w:val="18"/>
              </w:rPr>
              <w:t>USR-001 (normal)</w:t>
            </w:r>
          </w:p>
        </w:tc>
        <w:tc>
          <w:tcPr>
            <w:tcW w:type="dxa" w:w="2016"/>
            <w:shd w:fill="0D1B2A"/>
          </w:tcPr>
          <w:p>
            <w:pPr>
              <w:jc w:val="center"/>
            </w:pPr>
            <w:r>
              <w:rPr>
                <w:b/>
                <w:color w:val="FFFFFF"/>
                <w:sz w:val="18"/>
              </w:rPr>
              <w:t>Verdict</w:t>
            </w:r>
          </w:p>
        </w:tc>
      </w:tr>
      <w:tr>
        <w:tc>
          <w:tcPr>
            <w:tcW w:type="dxa" w:w="3168"/>
          </w:tcPr>
          <w:p>
            <w:r>
              <w:rPr>
                <w:sz w:val="18"/>
              </w:rPr>
              <w:t>Sign-in events</w:t>
            </w:r>
          </w:p>
        </w:tc>
        <w:tc>
          <w:tcPr>
            <w:tcW w:type="dxa" w:w="2448"/>
          </w:tcPr>
          <w:p>
            <w:r>
              <w:rPr>
                <w:sz w:val="18"/>
              </w:rPr>
              <w:t>82.2</w:t>
            </w:r>
          </w:p>
        </w:tc>
        <w:tc>
          <w:tcPr>
            <w:tcW w:type="dxa" w:w="2160"/>
          </w:tcPr>
          <w:p>
            <w:r>
              <w:rPr>
                <w:sz w:val="18"/>
              </w:rPr>
              <w:t>82.3</w:t>
            </w:r>
          </w:p>
        </w:tc>
        <w:tc>
          <w:tcPr>
            <w:tcW w:type="dxa" w:w="2016"/>
          </w:tcPr>
          <w:p>
            <w:r>
              <w:rPr>
                <w:sz w:val="18"/>
              </w:rPr>
              <w:t>≈ identical</w:t>
            </w:r>
          </w:p>
        </w:tc>
      </w:tr>
      <w:tr>
        <w:tc>
          <w:tcPr>
            <w:tcW w:type="dxa" w:w="3168"/>
            <w:shd w:fill="EAF0F6"/>
          </w:tcPr>
          <w:p>
            <w:r>
              <w:rPr>
                <w:sz w:val="18"/>
              </w:rPr>
              <w:t>Off-hours sign-in ratio</w:t>
            </w:r>
          </w:p>
        </w:tc>
        <w:tc>
          <w:tcPr>
            <w:tcW w:type="dxa" w:w="2448"/>
            <w:shd w:fill="EAF0F6"/>
          </w:tcPr>
          <w:p>
            <w:r>
              <w:rPr>
                <w:sz w:val="18"/>
              </w:rPr>
              <w:t>0.43</w:t>
            </w:r>
          </w:p>
        </w:tc>
        <w:tc>
          <w:tcPr>
            <w:tcW w:type="dxa" w:w="2160"/>
            <w:shd w:fill="EAF0F6"/>
          </w:tcPr>
          <w:p>
            <w:r>
              <w:rPr>
                <w:sz w:val="18"/>
              </w:rPr>
              <w:t>0.38</w:t>
            </w:r>
          </w:p>
        </w:tc>
        <w:tc>
          <w:tcPr>
            <w:tcW w:type="dxa" w:w="2016"/>
            <w:shd w:fill="EAF0F6"/>
          </w:tcPr>
          <w:p>
            <w:r>
              <w:rPr>
                <w:sz w:val="18"/>
              </w:rPr>
              <w:t>≈ normal</w:t>
            </w:r>
          </w:p>
        </w:tc>
      </w:tr>
      <w:tr>
        <w:tc>
          <w:tcPr>
            <w:tcW w:type="dxa" w:w="3168"/>
          </w:tcPr>
          <w:p>
            <w:r>
              <w:rPr>
                <w:sz w:val="18"/>
              </w:rPr>
              <w:t>File accesses</w:t>
            </w:r>
          </w:p>
        </w:tc>
        <w:tc>
          <w:tcPr>
            <w:tcW w:type="dxa" w:w="2448"/>
          </w:tcPr>
          <w:p>
            <w:r>
              <w:rPr>
                <w:sz w:val="18"/>
              </w:rPr>
              <w:t>70.9</w:t>
            </w:r>
          </w:p>
        </w:tc>
        <w:tc>
          <w:tcPr>
            <w:tcW w:type="dxa" w:w="2160"/>
          </w:tcPr>
          <w:p>
            <w:r>
              <w:rPr>
                <w:sz w:val="18"/>
              </w:rPr>
              <w:t>68.7</w:t>
            </w:r>
          </w:p>
        </w:tc>
        <w:tc>
          <w:tcPr>
            <w:tcW w:type="dxa" w:w="2016"/>
          </w:tcPr>
          <w:p>
            <w:r>
              <w:rPr>
                <w:sz w:val="18"/>
              </w:rPr>
              <w:t>≈ identical</w:t>
            </w:r>
          </w:p>
        </w:tc>
      </w:tr>
      <w:tr>
        <w:tc>
          <w:tcPr>
            <w:tcW w:type="dxa" w:w="3168"/>
            <w:shd w:fill="EAF0F6"/>
          </w:tcPr>
          <w:p>
            <w:r>
              <w:rPr>
                <w:sz w:val="18"/>
              </w:rPr>
              <w:t>Restricted-file ratio</w:t>
            </w:r>
          </w:p>
        </w:tc>
        <w:tc>
          <w:tcPr>
            <w:tcW w:type="dxa" w:w="2448"/>
            <w:shd w:fill="EAF0F6"/>
          </w:tcPr>
          <w:p>
            <w:r>
              <w:rPr>
                <w:sz w:val="18"/>
              </w:rPr>
              <w:t>0.046</w:t>
            </w:r>
          </w:p>
        </w:tc>
        <w:tc>
          <w:tcPr>
            <w:tcW w:type="dxa" w:w="2160"/>
            <w:shd w:fill="EAF0F6"/>
          </w:tcPr>
          <w:p>
            <w:r>
              <w:rPr>
                <w:sz w:val="18"/>
              </w:rPr>
              <w:t>0.060</w:t>
            </w:r>
          </w:p>
        </w:tc>
        <w:tc>
          <w:tcPr>
            <w:tcW w:type="dxa" w:w="2016"/>
            <w:shd w:fill="EAF0F6"/>
          </w:tcPr>
          <w:p>
            <w:r>
              <w:rPr>
                <w:sz w:val="18"/>
              </w:rPr>
              <w:t>attacker LOWER</w:t>
            </w:r>
          </w:p>
        </w:tc>
      </w:tr>
      <w:tr>
        <w:tc>
          <w:tcPr>
            <w:tcW w:type="dxa" w:w="3168"/>
          </w:tcPr>
          <w:p>
            <w:r>
              <w:rPr>
                <w:sz w:val="18"/>
              </w:rPr>
              <w:t>Network bytes sent</w:t>
            </w:r>
          </w:p>
        </w:tc>
        <w:tc>
          <w:tcPr>
            <w:tcW w:type="dxa" w:w="2448"/>
          </w:tcPr>
          <w:p>
            <w:r>
              <w:rPr>
                <w:sz w:val="18"/>
              </w:rPr>
              <w:t>782M</w:t>
            </w:r>
          </w:p>
        </w:tc>
        <w:tc>
          <w:tcPr>
            <w:tcW w:type="dxa" w:w="2160"/>
          </w:tcPr>
          <w:p>
            <w:r>
              <w:rPr>
                <w:sz w:val="18"/>
              </w:rPr>
              <w:t>711M</w:t>
            </w:r>
          </w:p>
        </w:tc>
        <w:tc>
          <w:tcPr>
            <w:tcW w:type="dxa" w:w="2016"/>
          </w:tcPr>
          <w:p>
            <w:r>
              <w:rPr>
                <w:sz w:val="18"/>
              </w:rPr>
              <w:t>within variance</w:t>
            </w:r>
          </w:p>
        </w:tc>
      </w:tr>
      <w:tr>
        <w:tc>
          <w:tcPr>
            <w:tcW w:type="dxa" w:w="3168"/>
            <w:shd w:fill="EAF0F6"/>
          </w:tcPr>
          <w:p>
            <w:r>
              <w:rPr>
                <w:sz w:val="18"/>
              </w:rPr>
              <w:t>Unique network destinations</w:t>
            </w:r>
          </w:p>
        </w:tc>
        <w:tc>
          <w:tcPr>
            <w:tcW w:type="dxa" w:w="2448"/>
            <w:shd w:fill="EAF0F6"/>
          </w:tcPr>
          <w:p>
            <w:r>
              <w:rPr>
                <w:sz w:val="18"/>
              </w:rPr>
              <w:t>56.2</w:t>
            </w:r>
          </w:p>
        </w:tc>
        <w:tc>
          <w:tcPr>
            <w:tcW w:type="dxa" w:w="2160"/>
            <w:shd w:fill="EAF0F6"/>
          </w:tcPr>
          <w:p>
            <w:r>
              <w:rPr>
                <w:sz w:val="18"/>
              </w:rPr>
              <w:t>52.6</w:t>
            </w:r>
          </w:p>
        </w:tc>
        <w:tc>
          <w:tcPr>
            <w:tcW w:type="dxa" w:w="2016"/>
            <w:shd w:fill="EAF0F6"/>
          </w:tcPr>
          <w:p>
            <w:r>
              <w:rPr>
                <w:sz w:val="18"/>
              </w:rPr>
              <w:t>≈ normal</w:t>
            </w:r>
          </w:p>
        </w:tc>
      </w:tr>
      <w:tr>
        <w:tc>
          <w:tcPr>
            <w:tcW w:type="dxa" w:w="3168"/>
          </w:tcPr>
          <w:p>
            <w:r>
              <w:rPr>
                <w:sz w:val="18"/>
              </w:rPr>
              <w:t>Unique DNS domains</w:t>
            </w:r>
          </w:p>
        </w:tc>
        <w:tc>
          <w:tcPr>
            <w:tcW w:type="dxa" w:w="2448"/>
          </w:tcPr>
          <w:p>
            <w:r>
              <w:rPr>
                <w:sz w:val="18"/>
              </w:rPr>
              <w:t>56.6</w:t>
            </w:r>
          </w:p>
        </w:tc>
        <w:tc>
          <w:tcPr>
            <w:tcW w:type="dxa" w:w="2160"/>
          </w:tcPr>
          <w:p>
            <w:r>
              <w:rPr>
                <w:sz w:val="18"/>
              </w:rPr>
              <w:t>56.2</w:t>
            </w:r>
          </w:p>
        </w:tc>
        <w:tc>
          <w:tcPr>
            <w:tcW w:type="dxa" w:w="2016"/>
          </w:tcPr>
          <w:p>
            <w:r>
              <w:rPr>
                <w:sz w:val="18"/>
              </w:rPr>
              <w:t>≈ identical</w:t>
            </w:r>
          </w:p>
        </w:tc>
      </w:tr>
      <w:tr>
        <w:tc>
          <w:tcPr>
            <w:tcW w:type="dxa" w:w="3168"/>
            <w:shd w:fill="EAF0F6"/>
          </w:tcPr>
          <w:p>
            <w:r>
              <w:rPr>
                <w:sz w:val="18"/>
              </w:rPr>
              <w:t>Failed-DNS (NXDOMAIN) ratio</w:t>
            </w:r>
          </w:p>
        </w:tc>
        <w:tc>
          <w:tcPr>
            <w:tcW w:type="dxa" w:w="2448"/>
            <w:shd w:fill="EAF0F6"/>
          </w:tcPr>
          <w:p>
            <w:r>
              <w:rPr>
                <w:sz w:val="18"/>
              </w:rPr>
              <w:t>0.039</w:t>
            </w:r>
          </w:p>
        </w:tc>
        <w:tc>
          <w:tcPr>
            <w:tcW w:type="dxa" w:w="2160"/>
            <w:shd w:fill="EAF0F6"/>
          </w:tcPr>
          <w:p>
            <w:r>
              <w:rPr>
                <w:sz w:val="18"/>
              </w:rPr>
              <w:t>0.044</w:t>
            </w:r>
          </w:p>
        </w:tc>
        <w:tc>
          <w:tcPr>
            <w:tcW w:type="dxa" w:w="2016"/>
            <w:shd w:fill="EAF0F6"/>
          </w:tcPr>
          <w:p>
            <w:r>
              <w:rPr>
                <w:sz w:val="18"/>
              </w:rPr>
              <w:t>attacker LOWER</w:t>
            </w:r>
          </w:p>
        </w:tc>
      </w:tr>
    </w:tbl>
    <w:p/>
    <w:p>
      <w:pPr>
        <w:spacing w:after="120"/>
      </w:pPr>
      <w:r>
        <w:rPr>
          <w:b w:val="0"/>
          <w:i w:val="0"/>
          <w:color w:val="000000"/>
          <w:sz w:val="21"/>
        </w:rPr>
        <w:t>On two measures the attacker is quieter than the normal user — fewer restricted-file accesses and fewer failed DNS lookups. No threshold, on any single feature, separates this attacker from the population. This is the measured definition of a realistic, evasive intrusion.</w:t>
      </w:r>
    </w:p>
    <w:p>
      <w:pPr>
        <w:pBdr>
          <w:left w:val="single" w:sz="24" w:space="12" w:color="0E6B8A"/>
        </w:pBdr>
        <w:shd w:fill="EAF4F7" w:val="clear"/>
        <w:spacing w:before="160" w:after="160"/>
      </w:pPr>
      <w:r>
        <w:rPr>
          <w:b/>
          <w:color w:val="0D1B2A"/>
          <w:sz w:val="21"/>
        </w:rPr>
        <w:t>The attacker changes WHAT it does, not HOW MUCH. Volume statistics are twins; only behavioral direction differs — and direction is what V-Intelligence measures.</w:t>
      </w:r>
    </w:p>
    <w:p>
      <w:r>
        <w:br w:type="page"/>
      </w:r>
    </w:p>
    <w:p>
      <w:pPr>
        <w:pStyle w:val="Heading1"/>
      </w:pPr>
      <w:r>
        <w:rPr>
          <w:color w:val="0D1B2A"/>
        </w:rPr>
        <w:t>4. Proof 2 — Raw Telemetry: the Beacon Buried in Plain Traffic</w:t>
      </w:r>
    </w:p>
    <w:p>
      <w:pPr>
        <w:spacing w:after="120"/>
      </w:pPr>
      <w:r>
        <w:rPr>
          <w:b w:val="0"/>
          <w:i w:val="0"/>
          <w:color w:val="000000"/>
          <w:sz w:val="21"/>
        </w:rPr>
        <w:t>Aggregates can hide detail, so the second test drops to the raw logs. The slow APT maintains a command-and-control (C2) beacon: a tiny, regular check-in to an external server. Here are the actual beacon flows from one day, next to the largest ordinary flow on the very same day.</w:t>
      </w:r>
    </w:p>
    <w:p>
      <w:pPr>
        <w:spacing w:before="80" w:after="80"/>
        <w:ind w:left="360"/>
      </w:pPr>
      <w:r>
        <w:rPr>
          <w:rFonts w:ascii="Consolas" w:hAnsi="Consolas"/>
          <w:color w:val="333333"/>
          <w:sz w:val="18"/>
        </w:rPr>
        <w:t>C2 BEACON  (attacker device -&gt; 198.51.100.47:443)</w:t>
        <w:br/>
        <w:t xml:space="preserve">   09:18   bytes out = 487    bytes in = 214</w:t>
        <w:br/>
        <w:t xml:space="preserve">   20:52   bytes out = 120    bytes in = 82</w:t>
        <w:br/>
        <w:br/>
        <w:t>LARGEST NORMAL FLOW (same day, ordinary web/cloud traffic)</w:t>
        <w:br/>
        <w:t xml:space="preserve">           bytes out = 184,741,986</w:t>
      </w:r>
    </w:p>
    <w:p>
      <w:pPr>
        <w:spacing w:after="120"/>
      </w:pPr>
      <w:r>
        <w:rPr>
          <w:b w:val="0"/>
          <w:i w:val="0"/>
          <w:color w:val="000000"/>
          <w:sz w:val="21"/>
        </w:rPr>
        <w:t>The beacon moves about 600 bytes across the whole day. The largest single normal flow that day moved 184 megabytes — roughly 380,000 times more. The attacker's channel is two whispers in a stadium of normal noise. A volume threshold cannot be set low enough to catch the whisper without drowning in false alarms from ordinary traffic.</w:t>
      </w:r>
    </w:p>
    <w:p>
      <w:pPr>
        <w:spacing w:after="120"/>
      </w:pPr>
      <w:r>
        <w:rPr>
          <w:b w:val="0"/>
          <w:i w:val="0"/>
          <w:color w:val="000000"/>
          <w:sz w:val="21"/>
        </w:rPr>
        <w:t>What makes the beacon catchable is not its size but its persistence and novelty: it returns to the same previously-unseen address, week after week. That is a behavioral signature, not a magnitude — and it is the basis of one of V-Intelligence's five detection phases (novelty persistence). For USR-234, the same novel external address appears in 60 of 60 post-baseline weeks — 100% persistence.</w:t>
      </w:r>
    </w:p>
    <w:p>
      <w:r>
        <w:br w:type="page"/>
      </w:r>
    </w:p>
    <w:p>
      <w:pPr>
        <w:pStyle w:val="Heading1"/>
      </w:pPr>
      <w:r>
        <w:rPr>
          <w:color w:val="0D1B2A"/>
        </w:rPr>
        <w:t>5. Proof 3 — The Digital Entity</w:t>
      </w:r>
    </w:p>
    <w:p>
      <w:pPr>
        <w:spacing w:after="120"/>
      </w:pPr>
      <w:r>
        <w:rPr>
          <w:b w:val="0"/>
          <w:i w:val="0"/>
          <w:color w:val="000000"/>
          <w:sz w:val="21"/>
        </w:rPr>
        <w:t>V-Intelligence turns each user's weekly activity into a structured behavioral profile — a 'digital entity' — decomposed into five independent zones. Each zone is written in plain language, then converted into a mathematical representation that captures meaning, not just magnitude. Below is the actual five-zone profile generated for USR-234.</w:t>
      </w:r>
    </w:p>
    <w:p>
      <w:pPr>
        <w:spacing w:before="80" w:after="80"/>
        <w:ind w:left="360"/>
      </w:pPr>
      <w:r>
        <w:rPr>
          <w:rFonts w:ascii="Consolas" w:hAnsi="Consolas"/>
          <w:color w:val="333333"/>
          <w:sz w:val="18"/>
        </w:rPr>
        <w:t>IDENTITY        role=ML Engineer, dept=Customer Support, clearance=internal, tenure=1684d</w:t>
        <w:br/>
        <w:t>ACCESS PATTERN  sign-ins=101, fail_rate=0.04, off_hours=0.45, unique_sources=16</w:t>
        <w:br/>
        <w:t>DATA BEHAVIOR   files=64, restricted=0.05, confidential=0.20, write=0.33</w:t>
        <w:br/>
        <w:t>NETWORK         bytes_out=1.2B, unique_dsts=58, external=0.17, dns_domains=67</w:t>
        <w:br/>
        <w:t>RISK POSTURE    endpoint_events=47, max_risk=82, processes=17</w:t>
      </w:r>
    </w:p>
    <w:p>
      <w:pPr>
        <w:spacing w:after="120"/>
      </w:pPr>
      <w:r>
        <w:rPr>
          <w:b w:val="0"/>
          <w:i w:val="0"/>
          <w:color w:val="000000"/>
          <w:sz w:val="21"/>
        </w:rPr>
        <w:t>Read in isolation, this profile is unremarkable — which is the point. The value comes from two things the raw numbers cannot provide. First, decomposition: keeping the five zones separate means a change confined to one zone (network footprint, say) is not averaged away by four stable zones. Second, meaning: the profile is compared against the user's own history and their peer group, so 'restricted-file ratio rose while everything else held' becomes a detectable shift in direction.</w:t>
      </w:r>
    </w:p>
    <w:p>
      <w:pPr>
        <w:pBdr>
          <w:left w:val="single" w:sz="24" w:space="12" w:color="0E6B8A"/>
        </w:pBdr>
        <w:shd w:fill="EAF4F7" w:val="clear"/>
        <w:spacing w:before="160" w:after="160"/>
      </w:pPr>
      <w:r>
        <w:rPr>
          <w:b/>
          <w:color w:val="0D1B2A"/>
          <w:sz w:val="21"/>
        </w:rPr>
        <w:t>The digital entity is to behavior what a medical chart is to health: no single reading is a diagnosis, but the trend across the chart tells the story.</w:t>
      </w:r>
    </w:p>
    <w:p>
      <w:r>
        <w:br w:type="page"/>
      </w:r>
    </w:p>
    <w:p>
      <w:pPr>
        <w:pStyle w:val="Heading1"/>
      </w:pPr>
      <w:r>
        <w:rPr>
          <w:color w:val="0D1B2A"/>
        </w:rPr>
        <w:t>6. Proof 4 — Cumulative Drift (CUSUM): Small Changes That Add Up</w:t>
      </w:r>
    </w:p>
    <w:p>
      <w:pPr>
        <w:spacing w:after="120"/>
      </w:pPr>
      <w:r>
        <w:rPr>
          <w:b w:val="0"/>
          <w:i w:val="0"/>
          <w:color w:val="000000"/>
          <w:sz w:val="21"/>
        </w:rPr>
        <w:t>If the attacker never spikes, how is it ever caught? By accumulation. Each week, the system measures how far the entity's behavior moved, subtracts a small allowance for normal week-to-week wobble, and adds the remainder to a running total that cannot go below zero. A normal user's wobble falls below the allowance most weeks, so their total keeps resetting to zero. A sustained attacker drifts a little further in the same direction every week, so their total climbs and never resets.</w:t>
      </w:r>
    </w:p>
    <w:p>
      <w:pPr>
        <w:spacing w:after="120"/>
      </w:pPr>
      <w:r>
        <w:rPr>
          <w:b w:val="0"/>
          <w:i w:val="0"/>
          <w:color w:val="000000"/>
          <w:sz w:val="21"/>
        </w:rPr>
        <w:t>The technique is called CUSUM (cumulative sum). It is the mathematical answer to 'slow and low.' The allowance, measured from this dataset, is 0.0138 of drift per week — the population's median weekly wobble. The table shows where each entity's cumulative drift ends after the full period.</w:t>
      </w:r>
    </w:p>
    <w:tbl>
      <w:tblPr>
        <w:tblStyle w:val="LightGrid-Accent1"/>
        <w:tblW w:type="auto" w:w="0"/>
        <w:jc w:val="center"/>
        <w:tblLook w:firstColumn="1" w:firstRow="1" w:lastColumn="0" w:lastRow="0" w:noHBand="0" w:noVBand="1" w:val="04A0"/>
      </w:tblPr>
      <w:tblGrid>
        <w:gridCol w:w="2408"/>
        <w:gridCol w:w="2408"/>
        <w:gridCol w:w="2408"/>
        <w:gridCol w:w="2408"/>
      </w:tblGrid>
      <w:tr>
        <w:tc>
          <w:tcPr>
            <w:tcW w:type="dxa" w:w="1584"/>
            <w:shd w:fill="0D1B2A"/>
          </w:tcPr>
          <w:p>
            <w:pPr>
              <w:jc w:val="center"/>
            </w:pPr>
            <w:r>
              <w:rPr>
                <w:b/>
                <w:color w:val="FFFFFF"/>
                <w:sz w:val="18"/>
              </w:rPr>
              <w:t>Entity</w:t>
            </w:r>
          </w:p>
        </w:tc>
        <w:tc>
          <w:tcPr>
            <w:tcW w:type="dxa" w:w="2736"/>
            <w:shd w:fill="0D1B2A"/>
          </w:tcPr>
          <w:p>
            <w:pPr>
              <w:jc w:val="center"/>
            </w:pPr>
            <w:r>
              <w:rPr>
                <w:b/>
                <w:color w:val="FFFFFF"/>
                <w:sz w:val="18"/>
              </w:rPr>
              <w:t>Type</w:t>
            </w:r>
          </w:p>
        </w:tc>
        <w:tc>
          <w:tcPr>
            <w:tcW w:type="dxa" w:w="2736"/>
            <w:shd w:fill="0D1B2A"/>
          </w:tcPr>
          <w:p>
            <w:pPr>
              <w:jc w:val="center"/>
            </w:pPr>
            <w:r>
              <w:rPr>
                <w:b/>
                <w:color w:val="FFFFFF"/>
                <w:sz w:val="18"/>
              </w:rPr>
              <w:t>Final cumulative drift</w:t>
            </w:r>
          </w:p>
        </w:tc>
        <w:tc>
          <w:tcPr>
            <w:tcW w:type="dxa" w:w="2304"/>
            <w:shd w:fill="0D1B2A"/>
          </w:tcPr>
          <w:p>
            <w:pPr>
              <w:jc w:val="center"/>
            </w:pPr>
            <w:r>
              <w:rPr>
                <w:b/>
                <w:color w:val="FFFFFF"/>
                <w:sz w:val="18"/>
              </w:rPr>
              <w:t>vs. normal</w:t>
            </w:r>
          </w:p>
        </w:tc>
      </w:tr>
      <w:tr>
        <w:tc>
          <w:tcPr>
            <w:tcW w:type="dxa" w:w="1584"/>
          </w:tcPr>
          <w:p>
            <w:r>
              <w:rPr>
                <w:sz w:val="18"/>
              </w:rPr>
              <w:t>USR-156</w:t>
            </w:r>
          </w:p>
        </w:tc>
        <w:tc>
          <w:tcPr>
            <w:tcW w:type="dxa" w:w="2736"/>
          </w:tcPr>
          <w:p>
            <w:r>
              <w:rPr>
                <w:sz w:val="18"/>
              </w:rPr>
              <w:t>Insider threat</w:t>
            </w:r>
          </w:p>
        </w:tc>
        <w:tc>
          <w:tcPr>
            <w:tcW w:type="dxa" w:w="2736"/>
          </w:tcPr>
          <w:p>
            <w:r>
              <w:rPr>
                <w:sz w:val="18"/>
              </w:rPr>
              <w:t>0.779</w:t>
            </w:r>
          </w:p>
        </w:tc>
        <w:tc>
          <w:tcPr>
            <w:tcW w:type="dxa" w:w="2304"/>
          </w:tcPr>
          <w:p>
            <w:r>
              <w:rPr>
                <w:sz w:val="18"/>
              </w:rPr>
              <w:t>29× the normal user</w:t>
            </w:r>
          </w:p>
        </w:tc>
      </w:tr>
      <w:tr>
        <w:tc>
          <w:tcPr>
            <w:tcW w:type="dxa" w:w="1584"/>
            <w:shd w:fill="EAF0F6"/>
          </w:tcPr>
          <w:p>
            <w:r>
              <w:rPr>
                <w:sz w:val="18"/>
              </w:rPr>
              <w:t>USR-042</w:t>
            </w:r>
          </w:p>
        </w:tc>
        <w:tc>
          <w:tcPr>
            <w:tcW w:type="dxa" w:w="2736"/>
            <w:shd w:fill="EAF0F6"/>
          </w:tcPr>
          <w:p>
            <w:r>
              <w:rPr>
                <w:sz w:val="18"/>
              </w:rPr>
              <w:t>Volt Typhoon (LOTL)</w:t>
            </w:r>
          </w:p>
        </w:tc>
        <w:tc>
          <w:tcPr>
            <w:tcW w:type="dxa" w:w="2736"/>
            <w:shd w:fill="EAF0F6"/>
          </w:tcPr>
          <w:p>
            <w:r>
              <w:rPr>
                <w:sz w:val="18"/>
              </w:rPr>
              <w:t>0.474</w:t>
            </w:r>
          </w:p>
        </w:tc>
        <w:tc>
          <w:tcPr>
            <w:tcW w:type="dxa" w:w="2304"/>
            <w:shd w:fill="EAF0F6"/>
          </w:tcPr>
          <w:p>
            <w:r>
              <w:rPr>
                <w:sz w:val="18"/>
              </w:rPr>
              <w:t>18×</w:t>
            </w:r>
          </w:p>
        </w:tc>
      </w:tr>
      <w:tr>
        <w:tc>
          <w:tcPr>
            <w:tcW w:type="dxa" w:w="1584"/>
          </w:tcPr>
          <w:p>
            <w:r>
              <w:rPr>
                <w:sz w:val="18"/>
              </w:rPr>
              <w:t>USR-234</w:t>
            </w:r>
          </w:p>
        </w:tc>
        <w:tc>
          <w:tcPr>
            <w:tcW w:type="dxa" w:w="2736"/>
          </w:tcPr>
          <w:p>
            <w:r>
              <w:rPr>
                <w:sz w:val="18"/>
              </w:rPr>
              <w:t>Slow APT (C2 beacon)</w:t>
            </w:r>
          </w:p>
        </w:tc>
        <w:tc>
          <w:tcPr>
            <w:tcW w:type="dxa" w:w="2736"/>
          </w:tcPr>
          <w:p>
            <w:r>
              <w:rPr>
                <w:sz w:val="18"/>
              </w:rPr>
              <w:t>0.162</w:t>
            </w:r>
          </w:p>
        </w:tc>
        <w:tc>
          <w:tcPr>
            <w:tcW w:type="dxa" w:w="2304"/>
          </w:tcPr>
          <w:p>
            <w:r>
              <w:rPr>
                <w:sz w:val="18"/>
              </w:rPr>
              <w:t>6×</w:t>
            </w:r>
          </w:p>
        </w:tc>
      </w:tr>
      <w:tr>
        <w:tc>
          <w:tcPr>
            <w:tcW w:type="dxa" w:w="1584"/>
            <w:shd w:fill="EAF0F6"/>
          </w:tcPr>
          <w:p>
            <w:r>
              <w:rPr>
                <w:sz w:val="18"/>
              </w:rPr>
              <w:t>USR-118</w:t>
            </w:r>
          </w:p>
        </w:tc>
        <w:tc>
          <w:tcPr>
            <w:tcW w:type="dxa" w:w="2736"/>
            <w:shd w:fill="EAF0F6"/>
          </w:tcPr>
          <w:p>
            <w:r>
              <w:rPr>
                <w:sz w:val="18"/>
              </w:rPr>
              <w:t>Salt Typhoon (telecom)</w:t>
            </w:r>
          </w:p>
        </w:tc>
        <w:tc>
          <w:tcPr>
            <w:tcW w:type="dxa" w:w="2736"/>
            <w:shd w:fill="EAF0F6"/>
          </w:tcPr>
          <w:p>
            <w:r>
              <w:rPr>
                <w:sz w:val="18"/>
              </w:rPr>
              <w:t>0.131</w:t>
            </w:r>
          </w:p>
        </w:tc>
        <w:tc>
          <w:tcPr>
            <w:tcW w:type="dxa" w:w="2304"/>
            <w:shd w:fill="EAF0F6"/>
          </w:tcPr>
          <w:p>
            <w:r>
              <w:rPr>
                <w:sz w:val="18"/>
              </w:rPr>
              <w:t>5×</w:t>
            </w:r>
          </w:p>
        </w:tc>
      </w:tr>
      <w:tr>
        <w:tc>
          <w:tcPr>
            <w:tcW w:type="dxa" w:w="1584"/>
          </w:tcPr>
          <w:p>
            <w:r>
              <w:rPr>
                <w:sz w:val="18"/>
              </w:rPr>
              <w:t>USR-001</w:t>
            </w:r>
          </w:p>
        </w:tc>
        <w:tc>
          <w:tcPr>
            <w:tcW w:type="dxa" w:w="2736"/>
          </w:tcPr>
          <w:p>
            <w:r>
              <w:rPr>
                <w:sz w:val="18"/>
              </w:rPr>
              <w:t>Normal user</w:t>
            </w:r>
          </w:p>
        </w:tc>
        <w:tc>
          <w:tcPr>
            <w:tcW w:type="dxa" w:w="2736"/>
          </w:tcPr>
          <w:p>
            <w:r>
              <w:rPr>
                <w:sz w:val="18"/>
              </w:rPr>
              <w:t>0.026</w:t>
            </w:r>
          </w:p>
        </w:tc>
        <w:tc>
          <w:tcPr>
            <w:tcW w:type="dxa" w:w="2304"/>
          </w:tcPr>
          <w:p>
            <w:r>
              <w:rPr>
                <w:sz w:val="18"/>
              </w:rPr>
              <w:t>baseline</w:t>
            </w:r>
          </w:p>
        </w:tc>
      </w:tr>
    </w:tbl>
    <w:p/>
    <w:p>
      <w:pPr>
        <w:spacing w:after="120"/>
      </w:pPr>
      <w:r>
        <w:rPr>
          <w:b w:val="0"/>
          <w:i w:val="0"/>
          <w:color w:val="000000"/>
          <w:sz w:val="21"/>
        </w:rPr>
        <w:t>Every attacker accumulates between 5 and 29 times the normal user's drift — even though, in any single week, none of them crossed an alarm threshold. The insider, escalating over eight months, accumulates the most. The slow APT, the quietest, still reaches six times the normal baseline. Accumulation converts many invisible weekly changes into one unmistakable signal.</w:t>
      </w:r>
    </w:p>
    <w:p>
      <w:r>
        <w:br w:type="page"/>
      </w:r>
    </w:p>
    <w:p>
      <w:pPr>
        <w:pStyle w:val="Heading1"/>
      </w:pPr>
      <w:r>
        <w:rPr>
          <w:color w:val="0D1B2A"/>
        </w:rPr>
        <w:t>7. Proof 5 — Cohort Comparison: the Attacker vs. Their Role Peers</w:t>
      </w:r>
    </w:p>
    <w:p>
      <w:pPr>
        <w:spacing w:after="120"/>
      </w:pPr>
      <w:r>
        <w:rPr>
          <w:b w:val="0"/>
          <w:i w:val="0"/>
          <w:color w:val="000000"/>
          <w:sz w:val="21"/>
        </w:rPr>
        <w:t>Comparing an attacker to one normal user is suggestive; comparing them to their entire role peer group is decisive. V-Intelligence measures each user only against behavioral peers in the same role group — a developer is never judged against an executive. USR-234 is an ML Engineer, placing it in the 'developer' peer group of 62 users.</w:t>
      </w:r>
    </w:p>
    <w:p>
      <w:pPr>
        <w:spacing w:after="120"/>
      </w:pPr>
      <w:r>
        <w:rPr>
          <w:b w:val="0"/>
          <w:i w:val="0"/>
          <w:color w:val="000000"/>
          <w:sz w:val="21"/>
        </w:rPr>
        <w:t>Against those 62 peers, where does the attacker fall on raw volume measures? Inside the normal range:</w:t>
      </w:r>
    </w:p>
    <w:tbl>
      <w:tblPr>
        <w:tblStyle w:val="LightGrid-Accent1"/>
        <w:tblW w:type="auto" w:w="0"/>
        <w:jc w:val="center"/>
        <w:tblLook w:firstColumn="1" w:firstRow="1" w:lastColumn="0" w:lastRow="0" w:noHBand="0" w:noVBand="1" w:val="04A0"/>
      </w:tblPr>
      <w:tblGrid>
        <w:gridCol w:w="2408"/>
        <w:gridCol w:w="2408"/>
        <w:gridCol w:w="2408"/>
        <w:gridCol w:w="2408"/>
      </w:tblGrid>
      <w:tr>
        <w:tc>
          <w:tcPr>
            <w:tcW w:type="dxa" w:w="2592"/>
            <w:shd w:fill="0D1B2A"/>
          </w:tcPr>
          <w:p>
            <w:pPr>
              <w:jc w:val="center"/>
            </w:pPr>
            <w:r>
              <w:rPr>
                <w:b/>
                <w:color w:val="FFFFFF"/>
                <w:sz w:val="18"/>
              </w:rPr>
              <w:t>Raw measure</w:t>
            </w:r>
          </w:p>
        </w:tc>
        <w:tc>
          <w:tcPr>
            <w:tcW w:type="dxa" w:w="2016"/>
            <w:shd w:fill="0D1B2A"/>
          </w:tcPr>
          <w:p>
            <w:pPr>
              <w:jc w:val="center"/>
            </w:pPr>
            <w:r>
              <w:rPr>
                <w:b/>
                <w:color w:val="FFFFFF"/>
                <w:sz w:val="18"/>
              </w:rPr>
              <w:t>Attacker value</w:t>
            </w:r>
          </w:p>
        </w:tc>
        <w:tc>
          <w:tcPr>
            <w:tcW w:type="dxa" w:w="3312"/>
            <w:shd w:fill="0D1B2A"/>
          </w:tcPr>
          <w:p>
            <w:pPr>
              <w:jc w:val="center"/>
            </w:pPr>
            <w:r>
              <w:rPr>
                <w:b/>
                <w:color w:val="FFFFFF"/>
                <w:sz w:val="18"/>
              </w:rPr>
              <w:t>Peer normal range (middle 50%)</w:t>
            </w:r>
          </w:p>
        </w:tc>
        <w:tc>
          <w:tcPr>
            <w:tcW w:type="dxa" w:w="1584"/>
            <w:shd w:fill="0D1B2A"/>
          </w:tcPr>
          <w:p>
            <w:pPr>
              <w:jc w:val="center"/>
            </w:pPr>
            <w:r>
              <w:rPr>
                <w:b/>
                <w:color w:val="FFFFFF"/>
                <w:sz w:val="18"/>
              </w:rPr>
              <w:t>Inside?</w:t>
            </w:r>
          </w:p>
        </w:tc>
      </w:tr>
      <w:tr>
        <w:tc>
          <w:tcPr>
            <w:tcW w:type="dxa" w:w="2592"/>
          </w:tcPr>
          <w:p>
            <w:r>
              <w:rPr>
                <w:sz w:val="18"/>
              </w:rPr>
              <w:t>File accesses</w:t>
            </w:r>
          </w:p>
        </w:tc>
        <w:tc>
          <w:tcPr>
            <w:tcW w:type="dxa" w:w="2016"/>
          </w:tcPr>
          <w:p>
            <w:r>
              <w:rPr>
                <w:sz w:val="18"/>
              </w:rPr>
              <w:t>70.9</w:t>
            </w:r>
          </w:p>
        </w:tc>
        <w:tc>
          <w:tcPr>
            <w:tcW w:type="dxa" w:w="3312"/>
          </w:tcPr>
          <w:p>
            <w:r>
              <w:rPr>
                <w:sz w:val="18"/>
              </w:rPr>
              <w:t>68.6 – 71.3</w:t>
            </w:r>
          </w:p>
        </w:tc>
        <w:tc>
          <w:tcPr>
            <w:tcW w:type="dxa" w:w="1584"/>
          </w:tcPr>
          <w:p>
            <w:r>
              <w:rPr>
                <w:b/>
                <w:color w:val="1E8A49"/>
                <w:sz w:val="18"/>
              </w:rPr>
              <w:t>Yes</w:t>
            </w:r>
          </w:p>
        </w:tc>
      </w:tr>
      <w:tr>
        <w:tc>
          <w:tcPr>
            <w:tcW w:type="dxa" w:w="2592"/>
            <w:shd w:fill="EAF0F6"/>
          </w:tcPr>
          <w:p>
            <w:r>
              <w:rPr>
                <w:sz w:val="18"/>
              </w:rPr>
              <w:t>Restricted-file ratio</w:t>
            </w:r>
          </w:p>
        </w:tc>
        <w:tc>
          <w:tcPr>
            <w:tcW w:type="dxa" w:w="2016"/>
            <w:shd w:fill="EAF0F6"/>
          </w:tcPr>
          <w:p>
            <w:r>
              <w:rPr>
                <w:sz w:val="18"/>
              </w:rPr>
              <w:t>0.05</w:t>
            </w:r>
          </w:p>
        </w:tc>
        <w:tc>
          <w:tcPr>
            <w:tcW w:type="dxa" w:w="3312"/>
            <w:shd w:fill="EAF0F6"/>
          </w:tcPr>
          <w:p>
            <w:r>
              <w:rPr>
                <w:sz w:val="18"/>
              </w:rPr>
              <w:t>0.04 – 0.05</w:t>
            </w:r>
          </w:p>
        </w:tc>
        <w:tc>
          <w:tcPr>
            <w:tcW w:type="dxa" w:w="1584"/>
            <w:shd w:fill="EAF0F6"/>
          </w:tcPr>
          <w:p>
            <w:r>
              <w:rPr>
                <w:b/>
                <w:color w:val="1E8A49"/>
                <w:sz w:val="18"/>
              </w:rPr>
              <w:t>Yes</w:t>
            </w:r>
          </w:p>
        </w:tc>
      </w:tr>
      <w:tr>
        <w:tc>
          <w:tcPr>
            <w:tcW w:type="dxa" w:w="2592"/>
          </w:tcPr>
          <w:p>
            <w:r>
              <w:rPr>
                <w:sz w:val="18"/>
              </w:rPr>
              <w:t>Network bytes sent</w:t>
            </w:r>
          </w:p>
        </w:tc>
        <w:tc>
          <w:tcPr>
            <w:tcW w:type="dxa" w:w="2016"/>
          </w:tcPr>
          <w:p>
            <w:r>
              <w:rPr>
                <w:sz w:val="18"/>
              </w:rPr>
              <w:t>782M</w:t>
            </w:r>
          </w:p>
        </w:tc>
        <w:tc>
          <w:tcPr>
            <w:tcW w:type="dxa" w:w="3312"/>
          </w:tcPr>
          <w:p>
            <w:r>
              <w:rPr>
                <w:sz w:val="18"/>
              </w:rPr>
              <w:t>757M – 1,513M</w:t>
            </w:r>
          </w:p>
        </w:tc>
        <w:tc>
          <w:tcPr>
            <w:tcW w:type="dxa" w:w="1584"/>
          </w:tcPr>
          <w:p>
            <w:r>
              <w:rPr>
                <w:b/>
                <w:color w:val="1E8A49"/>
                <w:sz w:val="18"/>
              </w:rPr>
              <w:t>Yes</w:t>
            </w:r>
          </w:p>
        </w:tc>
      </w:tr>
      <w:tr>
        <w:tc>
          <w:tcPr>
            <w:tcW w:type="dxa" w:w="2592"/>
            <w:shd w:fill="EAF0F6"/>
          </w:tcPr>
          <w:p>
            <w:r>
              <w:rPr>
                <w:sz w:val="18"/>
              </w:rPr>
              <w:t>Sign-in events</w:t>
            </w:r>
          </w:p>
        </w:tc>
        <w:tc>
          <w:tcPr>
            <w:tcW w:type="dxa" w:w="2016"/>
            <w:shd w:fill="EAF0F6"/>
          </w:tcPr>
          <w:p>
            <w:r>
              <w:rPr>
                <w:sz w:val="18"/>
              </w:rPr>
              <w:t>82.2</w:t>
            </w:r>
          </w:p>
        </w:tc>
        <w:tc>
          <w:tcPr>
            <w:tcW w:type="dxa" w:w="3312"/>
            <w:shd w:fill="EAF0F6"/>
          </w:tcPr>
          <w:p>
            <w:r>
              <w:rPr>
                <w:sz w:val="18"/>
              </w:rPr>
              <w:t>82.2 – 85.0</w:t>
            </w:r>
          </w:p>
        </w:tc>
        <w:tc>
          <w:tcPr>
            <w:tcW w:type="dxa" w:w="1584"/>
            <w:shd w:fill="EAF0F6"/>
          </w:tcPr>
          <w:p>
            <w:r>
              <w:rPr>
                <w:sz w:val="18"/>
              </w:rPr>
              <w:t>No (just below)</w:t>
            </w:r>
          </w:p>
        </w:tc>
      </w:tr>
    </w:tbl>
    <w:p/>
    <w:p>
      <w:pPr>
        <w:spacing w:after="120"/>
      </w:pPr>
      <w:r>
        <w:rPr>
          <w:b w:val="0"/>
          <w:i w:val="0"/>
          <w:color w:val="000000"/>
          <w:sz w:val="21"/>
        </w:rPr>
        <w:t>On three of four raw measures the attacker sits squarely inside the peer group's normal band; on the fourth it is just below. By volume, it is an ordinary developer. The separation appears only when the comparison shifts from raw volume to behavioral direction — sustained drift in the network zone, recurrence of a novel external address — measured relative to the same peer group. That behavioral comparison is what drives the detection score; the raw comparison, shown here, confirms the attacker hid successfully at the volume level.</w:t>
      </w:r>
    </w:p>
    <w:p>
      <w:r>
        <w:br w:type="page"/>
      </w:r>
    </w:p>
    <w:p>
      <w:pPr>
        <w:pStyle w:val="Heading1"/>
      </w:pPr>
      <w:r>
        <w:rPr>
          <w:color w:val="0D1B2A"/>
        </w:rPr>
        <w:t>8. The Detection Outcome: 4 of 4, Where Traditional Gets 0–1</w:t>
      </w:r>
    </w:p>
    <w:p>
      <w:pPr>
        <w:spacing w:after="120"/>
      </w:pPr>
      <w:r>
        <w:rPr>
          <w:b w:val="0"/>
          <w:i w:val="0"/>
          <w:color w:val="000000"/>
          <w:sz w:val="21"/>
        </w:rPr>
        <w:t>Having proven the attackers are genuinely hard to find, the payoff is the detection result on the same data. Four industry-standard anomaly-detection algorithms were run against the full 250-user population, alongside V-Intelligence's multi-phase composite scoring. Detection is counted only at an operationally acceptable false-positive rate.</w:t>
      </w:r>
    </w:p>
    <w:tbl>
      <w:tblPr>
        <w:tblStyle w:val="LightGrid-Accent1"/>
        <w:tblW w:type="auto" w:w="0"/>
        <w:jc w:val="center"/>
        <w:tblLook w:firstColumn="1" w:firstRow="1" w:lastColumn="0" w:lastRow="0" w:noHBand="0" w:noVBand="1" w:val="04A0"/>
      </w:tblPr>
      <w:tblGrid>
        <w:gridCol w:w="2408"/>
        <w:gridCol w:w="2408"/>
        <w:gridCol w:w="2408"/>
        <w:gridCol w:w="2408"/>
      </w:tblGrid>
      <w:tr>
        <w:tc>
          <w:tcPr>
            <w:tcW w:type="dxa" w:w="2448"/>
            <w:shd w:fill="0D1B2A"/>
          </w:tcPr>
          <w:p>
            <w:pPr>
              <w:jc w:val="center"/>
            </w:pPr>
            <w:r>
              <w:rPr>
                <w:b/>
                <w:color w:val="FFFFFF"/>
                <w:sz w:val="18"/>
              </w:rPr>
              <w:t>Method</w:t>
            </w:r>
          </w:p>
        </w:tc>
        <w:tc>
          <w:tcPr>
            <w:tcW w:type="dxa" w:w="2304"/>
            <w:shd w:fill="0D1B2A"/>
          </w:tcPr>
          <w:p>
            <w:pPr>
              <w:jc w:val="center"/>
            </w:pPr>
            <w:r>
              <w:rPr>
                <w:b/>
                <w:color w:val="FFFFFF"/>
                <w:sz w:val="18"/>
              </w:rPr>
              <w:t>Approach</w:t>
            </w:r>
          </w:p>
        </w:tc>
        <w:tc>
          <w:tcPr>
            <w:tcW w:type="dxa" w:w="1872"/>
            <w:shd w:fill="0D1B2A"/>
          </w:tcPr>
          <w:p>
            <w:pPr>
              <w:jc w:val="center"/>
            </w:pPr>
            <w:r>
              <w:rPr>
                <w:b/>
                <w:color w:val="FFFFFF"/>
                <w:sz w:val="18"/>
              </w:rPr>
              <w:t>Attacks caught</w:t>
            </w:r>
          </w:p>
        </w:tc>
        <w:tc>
          <w:tcPr>
            <w:tcW w:type="dxa" w:w="2304"/>
            <w:shd w:fill="0D1B2A"/>
          </w:tcPr>
          <w:p>
            <w:pPr>
              <w:jc w:val="center"/>
            </w:pPr>
            <w:r>
              <w:rPr>
                <w:b/>
                <w:color w:val="FFFFFF"/>
                <w:sz w:val="18"/>
              </w:rPr>
              <w:t>False-positive rate</w:t>
            </w:r>
          </w:p>
        </w:tc>
      </w:tr>
      <w:tr>
        <w:tc>
          <w:tcPr>
            <w:tcW w:type="dxa" w:w="2448"/>
          </w:tcPr>
          <w:p>
            <w:r>
              <w:rPr>
                <w:sz w:val="18"/>
              </w:rPr>
              <w:t>Local Outlier Factor</w:t>
            </w:r>
          </w:p>
        </w:tc>
        <w:tc>
          <w:tcPr>
            <w:tcW w:type="dxa" w:w="2304"/>
          </w:tcPr>
          <w:p>
            <w:r>
              <w:rPr>
                <w:sz w:val="18"/>
              </w:rPr>
              <w:t>Traditional</w:t>
            </w:r>
          </w:p>
        </w:tc>
        <w:tc>
          <w:tcPr>
            <w:tcW w:type="dxa" w:w="1872"/>
          </w:tcPr>
          <w:p>
            <w:r>
              <w:rPr>
                <w:sz w:val="18"/>
              </w:rPr>
              <w:t>0 of 4</w:t>
            </w:r>
          </w:p>
        </w:tc>
        <w:tc>
          <w:tcPr>
            <w:tcW w:type="dxa" w:w="2304"/>
          </w:tcPr>
          <w:p>
            <w:r>
              <w:rPr>
                <w:sz w:val="18"/>
              </w:rPr>
              <w:t>4.5%</w:t>
            </w:r>
          </w:p>
        </w:tc>
      </w:tr>
      <w:tr>
        <w:tc>
          <w:tcPr>
            <w:tcW w:type="dxa" w:w="2448"/>
            <w:shd w:fill="EAF0F6"/>
          </w:tcPr>
          <w:p>
            <w:r>
              <w:rPr>
                <w:sz w:val="18"/>
              </w:rPr>
              <w:t>Isolation Forest</w:t>
            </w:r>
          </w:p>
        </w:tc>
        <w:tc>
          <w:tcPr>
            <w:tcW w:type="dxa" w:w="2304"/>
            <w:shd w:fill="EAF0F6"/>
          </w:tcPr>
          <w:p>
            <w:r>
              <w:rPr>
                <w:sz w:val="18"/>
              </w:rPr>
              <w:t>Traditional</w:t>
            </w:r>
          </w:p>
        </w:tc>
        <w:tc>
          <w:tcPr>
            <w:tcW w:type="dxa" w:w="1872"/>
            <w:shd w:fill="EAF0F6"/>
          </w:tcPr>
          <w:p>
            <w:r>
              <w:rPr>
                <w:sz w:val="18"/>
              </w:rPr>
              <w:t>0 of 4</w:t>
            </w:r>
          </w:p>
        </w:tc>
        <w:tc>
          <w:tcPr>
            <w:tcW w:type="dxa" w:w="2304"/>
            <w:shd w:fill="EAF0F6"/>
          </w:tcPr>
          <w:p>
            <w:r>
              <w:rPr>
                <w:sz w:val="18"/>
              </w:rPr>
              <w:t>5.3%</w:t>
            </w:r>
          </w:p>
        </w:tc>
      </w:tr>
      <w:tr>
        <w:tc>
          <w:tcPr>
            <w:tcW w:type="dxa" w:w="2448"/>
          </w:tcPr>
          <w:p>
            <w:r>
              <w:rPr>
                <w:sz w:val="18"/>
              </w:rPr>
              <w:t>Z-Score (3-sigma)</w:t>
            </w:r>
          </w:p>
        </w:tc>
        <w:tc>
          <w:tcPr>
            <w:tcW w:type="dxa" w:w="2304"/>
          </w:tcPr>
          <w:p>
            <w:r>
              <w:rPr>
                <w:sz w:val="18"/>
              </w:rPr>
              <w:t>Traditional</w:t>
            </w:r>
          </w:p>
        </w:tc>
        <w:tc>
          <w:tcPr>
            <w:tcW w:type="dxa" w:w="1872"/>
          </w:tcPr>
          <w:p>
            <w:r>
              <w:rPr>
                <w:sz w:val="18"/>
              </w:rPr>
              <w:t>1 of 4</w:t>
            </w:r>
          </w:p>
        </w:tc>
        <w:tc>
          <w:tcPr>
            <w:tcW w:type="dxa" w:w="2304"/>
          </w:tcPr>
          <w:p>
            <w:r>
              <w:rPr>
                <w:sz w:val="18"/>
              </w:rPr>
              <w:t>9.8%</w:t>
            </w:r>
          </w:p>
        </w:tc>
      </w:tr>
      <w:tr>
        <w:tc>
          <w:tcPr>
            <w:tcW w:type="dxa" w:w="2448"/>
            <w:shd w:fill="EAF0F6"/>
          </w:tcPr>
          <w:p>
            <w:r>
              <w:rPr>
                <w:sz w:val="18"/>
              </w:rPr>
              <w:t>One-Class SVM</w:t>
            </w:r>
          </w:p>
        </w:tc>
        <w:tc>
          <w:tcPr>
            <w:tcW w:type="dxa" w:w="2304"/>
            <w:shd w:fill="EAF0F6"/>
          </w:tcPr>
          <w:p>
            <w:r>
              <w:rPr>
                <w:sz w:val="18"/>
              </w:rPr>
              <w:t>Traditional</w:t>
            </w:r>
          </w:p>
        </w:tc>
        <w:tc>
          <w:tcPr>
            <w:tcW w:type="dxa" w:w="1872"/>
            <w:shd w:fill="EAF0F6"/>
          </w:tcPr>
          <w:p>
            <w:r>
              <w:rPr>
                <w:sz w:val="18"/>
              </w:rPr>
              <w:t>0 of 4</w:t>
            </w:r>
          </w:p>
        </w:tc>
        <w:tc>
          <w:tcPr>
            <w:tcW w:type="dxa" w:w="2304"/>
            <w:shd w:fill="EAF0F6"/>
          </w:tcPr>
          <w:p>
            <w:r>
              <w:rPr>
                <w:sz w:val="18"/>
              </w:rPr>
              <w:t>14.6%</w:t>
            </w:r>
          </w:p>
        </w:tc>
      </w:tr>
      <w:tr>
        <w:tc>
          <w:tcPr>
            <w:tcW w:type="dxa" w:w="2448"/>
          </w:tcPr>
          <w:p>
            <w:r>
              <w:rPr>
                <w:sz w:val="18"/>
              </w:rPr>
              <w:t>Composite Scoring</w:t>
            </w:r>
          </w:p>
        </w:tc>
        <w:tc>
          <w:tcPr>
            <w:tcW w:type="dxa" w:w="2304"/>
          </w:tcPr>
          <w:p>
            <w:r>
              <w:rPr>
                <w:sz w:val="18"/>
              </w:rPr>
              <w:t>V-Intelligence UEBA</w:t>
            </w:r>
          </w:p>
        </w:tc>
        <w:tc>
          <w:tcPr>
            <w:tcW w:type="dxa" w:w="1872"/>
          </w:tcPr>
          <w:p>
            <w:r>
              <w:rPr>
                <w:sz w:val="18"/>
              </w:rPr>
              <w:t>4 of 4</w:t>
            </w:r>
          </w:p>
        </w:tc>
        <w:tc>
          <w:tcPr>
            <w:tcW w:type="dxa" w:w="2304"/>
          </w:tcPr>
          <w:p>
            <w:r>
              <w:rPr>
                <w:sz w:val="18"/>
              </w:rPr>
              <w:t>10.6%</w:t>
            </w:r>
          </w:p>
        </w:tc>
      </w:tr>
    </w:tbl>
    <w:p/>
    <w:p>
      <w:pPr>
        <w:spacing w:after="120"/>
      </w:pPr>
      <w:r>
        <w:rPr>
          <w:b w:val="0"/>
          <w:i w:val="0"/>
          <w:color w:val="000000"/>
          <w:sz w:val="21"/>
        </w:rPr>
        <w:t>The traditional methods are quiet because they are blind: they achieve low false-positive rates by being insensitive to exactly the behavioral changes the attackers exhibit. Composite scoring detects all four campaigns at a manageable 10.6% rate by fusing five behavioral phases rather than thresholding any single metric. Each attacker ranks in the top 12% of all 250 users:</w:t>
      </w:r>
    </w:p>
    <w:tbl>
      <w:tblPr>
        <w:tblStyle w:val="LightGrid-Accent1"/>
        <w:tblW w:type="auto" w:w="0"/>
        <w:jc w:val="center"/>
        <w:tblLook w:firstColumn="1" w:firstRow="1" w:lastColumn="0" w:lastRow="0" w:noHBand="0" w:noVBand="1" w:val="04A0"/>
      </w:tblPr>
      <w:tblGrid>
        <w:gridCol w:w="1926"/>
        <w:gridCol w:w="1926"/>
        <w:gridCol w:w="1926"/>
        <w:gridCol w:w="1926"/>
        <w:gridCol w:w="1926"/>
      </w:tblGrid>
      <w:tr>
        <w:tc>
          <w:tcPr>
            <w:tcW w:type="dxa" w:w="1440"/>
            <w:shd w:fill="0D1B2A"/>
          </w:tcPr>
          <w:p>
            <w:pPr>
              <w:jc w:val="center"/>
            </w:pPr>
            <w:r>
              <w:rPr>
                <w:b/>
                <w:color w:val="FFFFFF"/>
                <w:sz w:val="18"/>
              </w:rPr>
              <w:t>Attacker</w:t>
            </w:r>
          </w:p>
        </w:tc>
        <w:tc>
          <w:tcPr>
            <w:tcW w:type="dxa" w:w="2160"/>
            <w:shd w:fill="0D1B2A"/>
          </w:tcPr>
          <w:p>
            <w:pPr>
              <w:jc w:val="center"/>
            </w:pPr>
            <w:r>
              <w:rPr>
                <w:b/>
                <w:color w:val="FFFFFF"/>
                <w:sz w:val="18"/>
              </w:rPr>
              <w:t>Campaign</w:t>
            </w:r>
          </w:p>
        </w:tc>
        <w:tc>
          <w:tcPr>
            <w:tcW w:type="dxa" w:w="1728"/>
            <w:shd w:fill="0D1B2A"/>
          </w:tcPr>
          <w:p>
            <w:pPr>
              <w:jc w:val="center"/>
            </w:pPr>
            <w:r>
              <w:rPr>
                <w:b/>
                <w:color w:val="FFFFFF"/>
                <w:sz w:val="18"/>
              </w:rPr>
              <w:t>Composite score</w:t>
            </w:r>
          </w:p>
        </w:tc>
        <w:tc>
          <w:tcPr>
            <w:tcW w:type="dxa" w:w="1728"/>
            <w:shd w:fill="0D1B2A"/>
          </w:tcPr>
          <w:p>
            <w:pPr>
              <w:jc w:val="center"/>
            </w:pPr>
            <w:r>
              <w:rPr>
                <w:b/>
                <w:color w:val="FFFFFF"/>
                <w:sz w:val="18"/>
              </w:rPr>
              <w:t>Rank (of 250)</w:t>
            </w:r>
          </w:p>
        </w:tc>
        <w:tc>
          <w:tcPr>
            <w:tcW w:type="dxa" w:w="2736"/>
            <w:shd w:fill="0D1B2A"/>
          </w:tcPr>
          <w:p>
            <w:pPr>
              <w:jc w:val="center"/>
            </w:pPr>
            <w:r>
              <w:rPr>
                <w:b/>
                <w:color w:val="FFFFFF"/>
                <w:sz w:val="18"/>
              </w:rPr>
              <w:t>Caught by</w:t>
            </w:r>
          </w:p>
        </w:tc>
      </w:tr>
      <w:tr>
        <w:tc>
          <w:tcPr>
            <w:tcW w:type="dxa" w:w="1440"/>
          </w:tcPr>
          <w:p>
            <w:r>
              <w:rPr>
                <w:sz w:val="18"/>
              </w:rPr>
              <w:t>USR-118</w:t>
            </w:r>
          </w:p>
        </w:tc>
        <w:tc>
          <w:tcPr>
            <w:tcW w:type="dxa" w:w="2160"/>
          </w:tcPr>
          <w:p>
            <w:r>
              <w:rPr>
                <w:sz w:val="18"/>
              </w:rPr>
              <w:t>Salt Typhoon</w:t>
            </w:r>
          </w:p>
        </w:tc>
        <w:tc>
          <w:tcPr>
            <w:tcW w:type="dxa" w:w="1728"/>
          </w:tcPr>
          <w:p>
            <w:r>
              <w:rPr>
                <w:sz w:val="18"/>
              </w:rPr>
              <w:t>51.7</w:t>
            </w:r>
          </w:p>
        </w:tc>
        <w:tc>
          <w:tcPr>
            <w:tcW w:type="dxa" w:w="1728"/>
          </w:tcPr>
          <w:p>
            <w:r>
              <w:rPr>
                <w:sz w:val="18"/>
              </w:rPr>
              <w:t>#1</w:t>
            </w:r>
          </w:p>
        </w:tc>
        <w:tc>
          <w:tcPr>
            <w:tcW w:type="dxa" w:w="2736"/>
          </w:tcPr>
          <w:p>
            <w:r>
              <w:rPr>
                <w:sz w:val="18"/>
              </w:rPr>
              <w:t>signal strength + breadth</w:t>
            </w:r>
          </w:p>
        </w:tc>
      </w:tr>
      <w:tr>
        <w:tc>
          <w:tcPr>
            <w:tcW w:type="dxa" w:w="1440"/>
            <w:shd w:fill="EAF0F6"/>
          </w:tcPr>
          <w:p>
            <w:r>
              <w:rPr>
                <w:sz w:val="18"/>
              </w:rPr>
              <w:t>USR-156</w:t>
            </w:r>
          </w:p>
        </w:tc>
        <w:tc>
          <w:tcPr>
            <w:tcW w:type="dxa" w:w="2160"/>
            <w:shd w:fill="EAF0F6"/>
          </w:tcPr>
          <w:p>
            <w:r>
              <w:rPr>
                <w:sz w:val="18"/>
              </w:rPr>
              <w:t>Insider threat</w:t>
            </w:r>
          </w:p>
        </w:tc>
        <w:tc>
          <w:tcPr>
            <w:tcW w:type="dxa" w:w="1728"/>
            <w:shd w:fill="EAF0F6"/>
          </w:tcPr>
          <w:p>
            <w:r>
              <w:rPr>
                <w:sz w:val="18"/>
              </w:rPr>
              <w:t>46.2</w:t>
            </w:r>
          </w:p>
        </w:tc>
        <w:tc>
          <w:tcPr>
            <w:tcW w:type="dxa" w:w="1728"/>
            <w:shd w:fill="EAF0F6"/>
          </w:tcPr>
          <w:p>
            <w:r>
              <w:rPr>
                <w:sz w:val="18"/>
              </w:rPr>
              <w:t>#2</w:t>
            </w:r>
          </w:p>
        </w:tc>
        <w:tc>
          <w:tcPr>
            <w:tcW w:type="dxa" w:w="2736"/>
            <w:shd w:fill="EAF0F6"/>
          </w:tcPr>
          <w:p>
            <w:r>
              <w:rPr>
                <w:sz w:val="18"/>
              </w:rPr>
              <w:t>sustained deviation + breadth</w:t>
            </w:r>
          </w:p>
        </w:tc>
      </w:tr>
      <w:tr>
        <w:tc>
          <w:tcPr>
            <w:tcW w:type="dxa" w:w="1440"/>
          </w:tcPr>
          <w:p>
            <w:r>
              <w:rPr>
                <w:sz w:val="18"/>
              </w:rPr>
              <w:t>USR-234</w:t>
            </w:r>
          </w:p>
        </w:tc>
        <w:tc>
          <w:tcPr>
            <w:tcW w:type="dxa" w:w="2160"/>
          </w:tcPr>
          <w:p>
            <w:r>
              <w:rPr>
                <w:sz w:val="18"/>
              </w:rPr>
              <w:t>Slow APT</w:t>
            </w:r>
          </w:p>
        </w:tc>
        <w:tc>
          <w:tcPr>
            <w:tcW w:type="dxa" w:w="1728"/>
          </w:tcPr>
          <w:p>
            <w:r>
              <w:rPr>
                <w:sz w:val="18"/>
              </w:rPr>
              <w:t>20.0</w:t>
            </w:r>
          </w:p>
        </w:tc>
        <w:tc>
          <w:tcPr>
            <w:tcW w:type="dxa" w:w="1728"/>
          </w:tcPr>
          <w:p>
            <w:r>
              <w:rPr>
                <w:sz w:val="18"/>
              </w:rPr>
              <w:t>#7</w:t>
            </w:r>
          </w:p>
        </w:tc>
        <w:tc>
          <w:tcPr>
            <w:tcW w:type="dxa" w:w="2736"/>
          </w:tcPr>
          <w:p>
            <w:r>
              <w:rPr>
                <w:sz w:val="18"/>
              </w:rPr>
              <w:t>novelty persistence</w:t>
            </w:r>
          </w:p>
        </w:tc>
      </w:tr>
      <w:tr>
        <w:tc>
          <w:tcPr>
            <w:tcW w:type="dxa" w:w="1440"/>
            <w:shd w:fill="EAF0F6"/>
          </w:tcPr>
          <w:p>
            <w:r>
              <w:rPr>
                <w:sz w:val="18"/>
              </w:rPr>
              <w:t>USR-042</w:t>
            </w:r>
          </w:p>
        </w:tc>
        <w:tc>
          <w:tcPr>
            <w:tcW w:type="dxa" w:w="2160"/>
            <w:shd w:fill="EAF0F6"/>
          </w:tcPr>
          <w:p>
            <w:r>
              <w:rPr>
                <w:sz w:val="18"/>
              </w:rPr>
              <w:t>Volt Typhoon</w:t>
            </w:r>
          </w:p>
        </w:tc>
        <w:tc>
          <w:tcPr>
            <w:tcW w:type="dxa" w:w="1728"/>
            <w:shd w:fill="EAF0F6"/>
          </w:tcPr>
          <w:p>
            <w:r>
              <w:rPr>
                <w:sz w:val="18"/>
              </w:rPr>
              <w:t>12.9</w:t>
            </w:r>
          </w:p>
        </w:tc>
        <w:tc>
          <w:tcPr>
            <w:tcW w:type="dxa" w:w="1728"/>
            <w:shd w:fill="EAF0F6"/>
          </w:tcPr>
          <w:p>
            <w:r>
              <w:rPr>
                <w:sz w:val="18"/>
              </w:rPr>
              <w:t>#30</w:t>
            </w:r>
          </w:p>
        </w:tc>
        <w:tc>
          <w:tcPr>
            <w:tcW w:type="dxa" w:w="2736"/>
            <w:shd w:fill="EAF0F6"/>
          </w:tcPr>
          <w:p>
            <w:r>
              <w:rPr>
                <w:sz w:val="18"/>
              </w:rPr>
              <w:t>breadth + signal strength</w:t>
            </w:r>
          </w:p>
        </w:tc>
      </w:tr>
    </w:tbl>
    <w:p/>
    <w:p>
      <w:pPr>
        <w:pBdr>
          <w:left w:val="single" w:sz="24" w:space="12" w:color="0E6B8A"/>
        </w:pBdr>
        <w:shd w:fill="EAF4F7" w:val="clear"/>
        <w:spacing w:before="160" w:after="160"/>
      </w:pPr>
      <w:r>
        <w:rPr>
          <w:b/>
          <w:color w:val="0D1B2A"/>
          <w:sz w:val="21"/>
        </w:rPr>
        <w:t>The slow APT (USR-234) is the proof of the whole approach: invisible to all four traditional methods, statistically a twin of normal users, yet ranked #7 of 250 — caught almost entirely by the recurrence of one novel address across 60 weeks.</w:t>
      </w:r>
    </w:p>
    <w:p>
      <w:r>
        <w:br w:type="page"/>
      </w:r>
    </w:p>
    <w:p>
      <w:pPr>
        <w:pStyle w:val="Heading1"/>
      </w:pPr>
      <w:r>
        <w:rPr>
          <w:color w:val="0D1B2A"/>
        </w:rPr>
        <w:t>9. Testing &amp; Validation</w:t>
      </w:r>
    </w:p>
    <w:p>
      <w:pPr>
        <w:spacing w:after="120"/>
      </w:pPr>
      <w:r>
        <w:rPr>
          <w:b w:val="0"/>
          <w:i w:val="0"/>
          <w:color w:val="000000"/>
          <w:sz w:val="21"/>
        </w:rPr>
        <w:t>The numbers in this paper are not one-off readings. The detection pipeline is covered by an automated test suite that validates the scoring math, the embedding and drift calculations, numerical edge cases, and the end-to-end detection accuracy against the known ground truth.</w:t>
      </w:r>
    </w:p>
    <w:tbl>
      <w:tblPr>
        <w:tblStyle w:val="LightGrid-Accent1"/>
        <w:tblW w:type="auto" w:w="0"/>
        <w:jc w:val="center"/>
        <w:tblLook w:firstColumn="1" w:firstRow="1" w:lastColumn="0" w:lastRow="0" w:noHBand="0" w:noVBand="1" w:val="04A0"/>
      </w:tblPr>
      <w:tblGrid>
        <w:gridCol w:w="3211"/>
        <w:gridCol w:w="3211"/>
        <w:gridCol w:w="3211"/>
      </w:tblGrid>
      <w:tr>
        <w:tc>
          <w:tcPr>
            <w:tcW w:type="dxa" w:w="2304"/>
            <w:shd w:fill="0D1B2A"/>
          </w:tcPr>
          <w:p>
            <w:pPr>
              <w:jc w:val="center"/>
            </w:pPr>
            <w:r>
              <w:rPr>
                <w:b/>
                <w:color w:val="FFFFFF"/>
                <w:sz w:val="18"/>
              </w:rPr>
              <w:t>Validation area</w:t>
            </w:r>
          </w:p>
        </w:tc>
        <w:tc>
          <w:tcPr>
            <w:tcW w:type="dxa" w:w="4752"/>
            <w:shd w:fill="0D1B2A"/>
          </w:tcPr>
          <w:p>
            <w:pPr>
              <w:jc w:val="center"/>
            </w:pPr>
            <w:r>
              <w:rPr>
                <w:b/>
                <w:color w:val="FFFFFF"/>
                <w:sz w:val="18"/>
              </w:rPr>
              <w:t>What is checked</w:t>
            </w:r>
          </w:p>
        </w:tc>
        <w:tc>
          <w:tcPr>
            <w:tcW w:type="dxa" w:w="1584"/>
            <w:shd w:fill="0D1B2A"/>
          </w:tcPr>
          <w:p>
            <w:pPr>
              <w:jc w:val="center"/>
            </w:pPr>
            <w:r>
              <w:rPr>
                <w:b/>
                <w:color w:val="FFFFFF"/>
                <w:sz w:val="18"/>
              </w:rPr>
              <w:t>Result</w:t>
            </w:r>
          </w:p>
        </w:tc>
      </w:tr>
      <w:tr>
        <w:tc>
          <w:tcPr>
            <w:tcW w:type="dxa" w:w="2304"/>
          </w:tcPr>
          <w:p>
            <w:r>
              <w:rPr>
                <w:sz w:val="18"/>
              </w:rPr>
              <w:t>Composite scoring</w:t>
            </w:r>
          </w:p>
        </w:tc>
        <w:tc>
          <w:tcPr>
            <w:tcW w:type="dxa" w:w="4752"/>
          </w:tcPr>
          <w:p>
            <w:r>
              <w:rPr>
                <w:sz w:val="18"/>
              </w:rPr>
              <w:t>Phase math, weighting, role-group z-scores, ranking</w:t>
            </w:r>
          </w:p>
        </w:tc>
        <w:tc>
          <w:tcPr>
            <w:tcW w:type="dxa" w:w="1584"/>
          </w:tcPr>
          <w:p>
            <w:r>
              <w:rPr>
                <w:sz w:val="18"/>
              </w:rPr>
              <w:t>Passing</w:t>
            </w:r>
          </w:p>
        </w:tc>
      </w:tr>
      <w:tr>
        <w:tc>
          <w:tcPr>
            <w:tcW w:type="dxa" w:w="2304"/>
            <w:shd w:fill="EAF0F6"/>
          </w:tcPr>
          <w:p>
            <w:r>
              <w:rPr>
                <w:sz w:val="18"/>
              </w:rPr>
              <w:t>Embeddings &amp; drift</w:t>
            </w:r>
          </w:p>
        </w:tc>
        <w:tc>
          <w:tcPr>
            <w:tcW w:type="dxa" w:w="4752"/>
            <w:shd w:fill="EAF0F6"/>
          </w:tcPr>
          <w:p>
            <w:r>
              <w:rPr>
                <w:sz w:val="18"/>
              </w:rPr>
              <w:t>Vector composition, cosine distance, velocity, regimes</w:t>
            </w:r>
          </w:p>
        </w:tc>
        <w:tc>
          <w:tcPr>
            <w:tcW w:type="dxa" w:w="1584"/>
            <w:shd w:fill="EAF0F6"/>
          </w:tcPr>
          <w:p>
            <w:r>
              <w:rPr>
                <w:sz w:val="18"/>
              </w:rPr>
              <w:t>Passing</w:t>
            </w:r>
          </w:p>
        </w:tc>
      </w:tr>
      <w:tr>
        <w:tc>
          <w:tcPr>
            <w:tcW w:type="dxa" w:w="2304"/>
          </w:tcPr>
          <w:p>
            <w:r>
              <w:rPr>
                <w:sz w:val="18"/>
              </w:rPr>
              <w:t>Novelty detection</w:t>
            </w:r>
          </w:p>
        </w:tc>
        <w:tc>
          <w:tcPr>
            <w:tcW w:type="dxa" w:w="4752"/>
          </w:tcPr>
          <w:p>
            <w:r>
              <w:rPr>
                <w:sz w:val="18"/>
              </w:rPr>
              <w:t>Persistent-address logic, entropy, role-appropriate access</w:t>
            </w:r>
          </w:p>
        </w:tc>
        <w:tc>
          <w:tcPr>
            <w:tcW w:type="dxa" w:w="1584"/>
          </w:tcPr>
          <w:p>
            <w:r>
              <w:rPr>
                <w:sz w:val="18"/>
              </w:rPr>
              <w:t>Passing</w:t>
            </w:r>
          </w:p>
        </w:tc>
      </w:tr>
      <w:tr>
        <w:tc>
          <w:tcPr>
            <w:tcW w:type="dxa" w:w="2304"/>
            <w:shd w:fill="EAF0F6"/>
          </w:tcPr>
          <w:p>
            <w:r>
              <w:rPr>
                <w:sz w:val="18"/>
              </w:rPr>
              <w:t>Numerical stability</w:t>
            </w:r>
          </w:p>
        </w:tc>
        <w:tc>
          <w:tcPr>
            <w:tcW w:type="dxa" w:w="4752"/>
            <w:shd w:fill="EAF0F6"/>
          </w:tcPr>
          <w:p>
            <w:r>
              <w:rPr>
                <w:sz w:val="18"/>
              </w:rPr>
              <w:t>Zero vectors, single-user groups, extreme values</w:t>
            </w:r>
          </w:p>
        </w:tc>
        <w:tc>
          <w:tcPr>
            <w:tcW w:type="dxa" w:w="1584"/>
            <w:shd w:fill="EAF0F6"/>
          </w:tcPr>
          <w:p>
            <w:r>
              <w:rPr>
                <w:sz w:val="18"/>
              </w:rPr>
              <w:t>Passing</w:t>
            </w:r>
          </w:p>
        </w:tc>
      </w:tr>
      <w:tr>
        <w:tc>
          <w:tcPr>
            <w:tcW w:type="dxa" w:w="2304"/>
          </w:tcPr>
          <w:p>
            <w:r>
              <w:rPr>
                <w:sz w:val="18"/>
              </w:rPr>
              <w:t>Detection accuracy</w:t>
            </w:r>
          </w:p>
        </w:tc>
        <w:tc>
          <w:tcPr>
            <w:tcW w:type="dxa" w:w="4752"/>
          </w:tcPr>
          <w:p>
            <w:r>
              <w:rPr>
                <w:sz w:val="18"/>
              </w:rPr>
              <w:t>4-of-4 at 10.6% FP reproduced from stored results</w:t>
            </w:r>
          </w:p>
        </w:tc>
        <w:tc>
          <w:tcPr>
            <w:tcW w:type="dxa" w:w="1584"/>
          </w:tcPr>
          <w:p>
            <w:r>
              <w:rPr>
                <w:sz w:val="18"/>
              </w:rPr>
              <w:t>Passing</w:t>
            </w:r>
          </w:p>
        </w:tc>
      </w:tr>
      <w:tr>
        <w:tc>
          <w:tcPr>
            <w:tcW w:type="dxa" w:w="2304"/>
            <w:shd w:fill="EAF0F6"/>
          </w:tcPr>
          <w:p>
            <w:r>
              <w:rPr>
                <w:sz w:val="18"/>
              </w:rPr>
              <w:t>Security / evasion</w:t>
            </w:r>
          </w:p>
        </w:tc>
        <w:tc>
          <w:tcPr>
            <w:tcW w:type="dxa" w:w="4752"/>
            <w:shd w:fill="EAF0F6"/>
          </w:tcPr>
          <w:p>
            <w:r>
              <w:rPr>
                <w:sz w:val="18"/>
              </w:rPr>
              <w:t>Rotating-address, orthogonal-drift, low-drift evasion cases</w:t>
            </w:r>
          </w:p>
        </w:tc>
        <w:tc>
          <w:tcPr>
            <w:tcW w:type="dxa" w:w="1584"/>
            <w:shd w:fill="EAF0F6"/>
          </w:tcPr>
          <w:p>
            <w:r>
              <w:rPr>
                <w:sz w:val="18"/>
              </w:rPr>
              <w:t>Passing</w:t>
            </w:r>
          </w:p>
        </w:tc>
      </w:tr>
    </w:tbl>
    <w:p/>
    <w:p>
      <w:pPr>
        <w:spacing w:after="120"/>
      </w:pPr>
      <w:r>
        <w:rPr>
          <w:b w:val="0"/>
          <w:i w:val="0"/>
          <w:color w:val="000000"/>
          <w:sz w:val="21"/>
        </w:rPr>
        <w:t>Across the deep-analysis and AI/ML suites, 176 of 177 tests pass; the single exception is an out-of-date count assertion in a reference-library test (the library legitimately grew from 12 to 16 threat concepts) and does not affect detection. The detection outcome — four of four at 10.6% — is reproduced directly from the stored results on every run.</w:t>
      </w:r>
    </w:p>
    <w:p>
      <w:r>
        <w:br w:type="page"/>
      </w:r>
    </w:p>
    <w:p>
      <w:pPr>
        <w:pStyle w:val="Heading1"/>
      </w:pPr>
      <w:r>
        <w:rPr>
          <w:color w:val="0D1B2A"/>
        </w:rPr>
        <w:t>10. How to Reproduce This Live</w:t>
      </w:r>
    </w:p>
    <w:p>
      <w:pPr>
        <w:spacing w:after="120"/>
      </w:pPr>
      <w:r>
        <w:rPr>
          <w:b w:val="0"/>
          <w:i w:val="0"/>
          <w:color w:val="000000"/>
          <w:sz w:val="21"/>
        </w:rPr>
        <w:t>Every figure in this paper is reproducible in the platform's interactive dashboard. A dedicated 'Proof of Realism' view lets a reviewer select any two users and see, in real time and pulled live from the database:</w:t>
      </w:r>
    </w:p>
    <w:p>
      <w:pPr>
        <w:pStyle w:val="ListBullet"/>
      </w:pPr>
      <w:r>
        <w:rPr>
          <w:b/>
          <w:sz w:val="21"/>
        </w:rPr>
        <w:t xml:space="preserve">Section 1 — </w:t>
      </w:r>
      <w:r>
        <w:rPr>
          <w:sz w:val="21"/>
        </w:rPr>
        <w:t>the weekly-average comparison (statistical twins);</w:t>
      </w:r>
    </w:p>
    <w:p>
      <w:pPr>
        <w:pStyle w:val="ListBullet"/>
      </w:pPr>
      <w:r>
        <w:rPr>
          <w:b/>
          <w:sz w:val="21"/>
        </w:rPr>
        <w:t xml:space="preserve">Section 2 — </w:t>
      </w:r>
      <w:r>
        <w:rPr>
          <w:sz w:val="21"/>
        </w:rPr>
        <w:t>the raw daily logs side by side, with C2-beacon flows flagged;</w:t>
      </w:r>
    </w:p>
    <w:p>
      <w:pPr>
        <w:pStyle w:val="ListBullet"/>
      </w:pPr>
      <w:r>
        <w:rPr>
          <w:b/>
          <w:sz w:val="21"/>
        </w:rPr>
        <w:t xml:space="preserve">Section 3 — </w:t>
      </w:r>
      <w:r>
        <w:rPr>
          <w:sz w:val="21"/>
        </w:rPr>
        <w:t>the five-zone digital entity for each user;</w:t>
      </w:r>
    </w:p>
    <w:p>
      <w:pPr>
        <w:pStyle w:val="ListBullet"/>
      </w:pPr>
      <w:r>
        <w:rPr>
          <w:b/>
          <w:sz w:val="21"/>
        </w:rPr>
        <w:t xml:space="preserve">Section 4 — </w:t>
      </w:r>
      <w:r>
        <w:rPr>
          <w:sz w:val="21"/>
        </w:rPr>
        <w:t>the per-week drift and the cumulative (CUSUM) curve for both;</w:t>
      </w:r>
    </w:p>
    <w:p>
      <w:pPr>
        <w:pStyle w:val="ListBullet"/>
      </w:pPr>
      <w:r>
        <w:rPr>
          <w:b/>
          <w:sz w:val="21"/>
        </w:rPr>
        <w:t xml:space="preserve">Section 5 — </w:t>
      </w:r>
      <w:r>
        <w:rPr>
          <w:sz w:val="21"/>
        </w:rPr>
        <w:t>the attacker placed against their full role-peer cohort, on both raw volume and behavioral direction.</w:t>
      </w:r>
    </w:p>
    <w:p>
      <w:pPr>
        <w:spacing w:after="120"/>
      </w:pPr>
      <w:r>
        <w:rPr>
          <w:b w:val="0"/>
          <w:i w:val="0"/>
          <w:color w:val="000000"/>
          <w:sz w:val="21"/>
        </w:rPr>
        <w:t>Because the view is interactive, a skeptical reviewer can test the realism claim themselves: pick the attacker and any normal user, and watch the volume statistics overlap while the cumulative-drift curves diverge.</w:t>
      </w:r>
    </w:p>
    <w:p>
      <w:r>
        <w:br w:type="page"/>
      </w:r>
    </w:p>
    <w:p>
      <w:pPr>
        <w:pStyle w:val="Heading1"/>
      </w:pPr>
      <w:r>
        <w:rPr>
          <w:color w:val="0D1B2A"/>
        </w:rPr>
        <w:t>11. Conclusion</w:t>
      </w:r>
    </w:p>
    <w:p>
      <w:pPr>
        <w:spacing w:after="120"/>
      </w:pPr>
      <w:r>
        <w:rPr>
          <w:b w:val="0"/>
          <w:i w:val="0"/>
          <w:color w:val="000000"/>
          <w:sz w:val="21"/>
        </w:rPr>
        <w:t>The credibility of a detection result depends entirely on the difficulty of the problem it solved. This paper establishes that difficulty with measured evidence: the simulated attackers are statistical twins of normal users, their command channel is vanishingly small, and against a full peer cohort they hide successfully on every raw volume measure. They are realistic because they are, by design, invisible to the tools most organizations rely on — confirmed by four standard algorithms detecting at most one of four.</w:t>
      </w:r>
    </w:p>
    <w:p>
      <w:pPr>
        <w:spacing w:after="120"/>
      </w:pPr>
      <w:r>
        <w:rPr>
          <w:b w:val="0"/>
          <w:i w:val="0"/>
          <w:color w:val="000000"/>
          <w:sz w:val="21"/>
        </w:rPr>
        <w:t>On that same hard data, V-Intelligence UEBA detects all four campaigns at a 10.6% false-positive rate by measuring behavioral direction and accumulating it over time — the digital entity, zone decomposition, cumulative drift, novelty persistence, and peer-relative scoring shown step by step above. The attacker changes what it does, not how much. This paper proves the attackers were hard, and shows exactly how they were caught anyway.</w:t>
      </w:r>
    </w:p>
    <w:p>
      <w:pPr>
        <w:pBdr>
          <w:left w:val="single" w:sz="24" w:space="12" w:color="0E6B8A"/>
        </w:pBdr>
        <w:shd w:fill="EAF4F7" w:val="clear"/>
        <w:spacing w:before="160" w:after="160"/>
      </w:pPr>
      <w:r>
        <w:rPr>
          <w:b/>
          <w:color w:val="0D1B2A"/>
          <w:sz w:val="21"/>
        </w:rPr>
        <w:t>Realistic data, rigorously measured. Hard attackers, transparently caught. Every claim in this paper is reproducible against the same dataset, live.</w:t>
      </w:r>
    </w:p>
    <w:p/>
    <w:p>
      <w:pPr>
        <w:jc w:val="center"/>
      </w:pPr>
      <w:r>
        <w:rPr>
          <w:color w:val="1B4F72"/>
          <w:sz w:val="20"/>
        </w:rPr>
        <w:t>22nd Century Technologies, Inc.  ·  V-Intelligence UEBA Program  ·  June 2026</w:t>
      </w:r>
    </w:p>
    <w:sectPr w:rsidR="00FC693F" w:rsidRPr="0006063C" w:rsidSect="00034616">
      <w:pgSz w:w="12240" w:h="15840"/>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