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AI-Powered Behavioral Intelligence for Army Cyber Defense</w:t>
      </w:r>
    </w:p>
    <w:p/>
    <w:p/>
    <w:p>
      <w:pPr>
        <w:jc w:val="center"/>
      </w:pPr>
      <w:r>
        <w:rPr>
          <w:color w:val="444444"/>
          <w:sz w:val="24"/>
        </w:rPr>
        <w:t>22nd Century Technologies, Inc.</w:t>
        <w:br/>
        <w:t>V-Intelligence UEBA Program</w:t>
        <w:br/>
        <w:br/>
        <w:t>June 2026 — Version 2.0</w:t>
        <w:br/>
        <w:br/>
        <w:t>Prepared for: United States Army — Chief of Artificial Intelligence</w:t>
      </w:r>
    </w:p>
    <w:p>
      <w:r>
        <w:br w:type="page"/>
      </w:r>
    </w:p>
    <w:p>
      <w:pPr>
        <w:pStyle w:val="Heading1"/>
      </w:pPr>
      <w:r>
        <w:rPr>
          <w:color w:val="0D1B2A"/>
        </w:rPr>
        <w:t>1. Executive Summary</w:t>
      </w:r>
    </w:p>
    <w:p>
      <w:pPr>
        <w:spacing w:after="40"/>
      </w:pPr>
      <w:r>
        <w:rPr>
          <w:b/>
          <w:i w:val="0"/>
          <w:color w:val="000000"/>
          <w:sz w:val="21"/>
        </w:rPr>
        <w:t>The AI Innovation Imperative</w:t>
      </w:r>
    </w:p>
    <w:p>
      <w:pPr>
        <w:spacing w:after="120"/>
      </w:pPr>
      <w:r>
        <w:rPr>
          <w:b w:val="0"/>
          <w:i w:val="0"/>
          <w:color w:val="000000"/>
          <w:sz w:val="21"/>
        </w:rPr>
        <w:t>The Army's adoption of AI for cyber defense must move beyond rule-based automation. Current SIEM systems generate thousands of alerts per day, the vast majority false positives, overwhelming Security Operations Centers and creating alert fatigue that allows real threats to go uninvestigated. The challenge is not more alerts — it is smarter detection that ranks users by behavioral anomaly, surfacing the highest-risk entities first.</w:t>
      </w:r>
    </w:p>
    <w:p>
      <w:pPr>
        <w:spacing w:after="120"/>
      </w:pPr>
      <w:r>
        <w:rPr>
          <w:b w:val="0"/>
          <w:i w:val="0"/>
          <w:color w:val="000000"/>
          <w:sz w:val="21"/>
        </w:rPr>
        <w:t>V-Intelligence UEBA applies machine learning at three distinct layers: semantic behavioral embeddings that capture the meaning of user activity (not just volume), multi-phase composite scoring that fuses five independent detection dimensions into a single ranked output, and novelty persistence detection that identifies recurring contact with previously-unseen infrastructure. The result: 4 of 4 embedded attack campaigns detected at 10.6% false positive rate — a ranked list, not a flood of alerts.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10.6% false positive rate (26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10.6% (26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#30) and Salt Typhoon (USR-118, rank #1) are detected by composite scoring at the 90th-percentile threshold with 10.6%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26</w:t>
            </w:r>
          </w:p>
        </w:tc>
        <w:tc>
          <w:tcPr>
            <w:tcW w:type="dxa" w:w="864"/>
          </w:tcPr>
          <w:p>
            <w:r>
              <w:rPr>
                <w:sz w:val="18"/>
              </w:rPr>
              <w:t>10.6%</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51.7</w:t>
            </w:r>
          </w:p>
        </w:tc>
        <w:tc>
          <w:tcPr>
            <w:tcW w:type="dxa" w:w="720"/>
          </w:tcPr>
          <w:p>
            <w:r>
              <w:rPr>
                <w:sz w:val="18"/>
              </w:rPr>
              <w:t>#1</w:t>
            </w:r>
          </w:p>
        </w:tc>
        <w:tc>
          <w:tcPr>
            <w:tcW w:type="dxa" w:w="864"/>
          </w:tcPr>
          <w:p>
            <w:r>
              <w:rPr>
                <w:sz w:val="18"/>
              </w:rPr>
              <w:t>30.6</w:t>
            </w:r>
          </w:p>
        </w:tc>
        <w:tc>
          <w:tcPr>
            <w:tcW w:type="dxa" w:w="1008"/>
          </w:tcPr>
          <w:p>
            <w:r>
              <w:rPr>
                <w:sz w:val="18"/>
              </w:rPr>
              <w:t>17</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20.0</w:t>
            </w:r>
          </w:p>
        </w:tc>
        <w:tc>
          <w:tcPr>
            <w:tcW w:type="dxa" w:w="720"/>
          </w:tcPr>
          <w:p>
            <w:r>
              <w:rPr>
                <w:sz w:val="18"/>
              </w:rPr>
              <w:t>#7</w:t>
            </w:r>
          </w:p>
        </w:tc>
        <w:tc>
          <w:tcPr>
            <w:tcW w:type="dxa" w:w="864"/>
          </w:tcPr>
          <w:p>
            <w:r>
              <w:rPr>
                <w:sz w:val="18"/>
              </w:rPr>
              <w:t>4.5</w:t>
            </w:r>
          </w:p>
        </w:tc>
        <w:tc>
          <w:tcPr>
            <w:tcW w:type="dxa" w:w="1008"/>
          </w:tcPr>
          <w:p>
            <w:r>
              <w:rPr>
                <w:sz w:val="18"/>
              </w:rPr>
              <w:t>2</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12.9</w:t>
            </w:r>
          </w:p>
        </w:tc>
        <w:tc>
          <w:tcPr>
            <w:tcW w:type="dxa" w:w="720"/>
            <w:shd w:fill="EAF0F6"/>
          </w:tcPr>
          <w:p>
            <w:r>
              <w:rPr>
                <w:sz w:val="18"/>
              </w:rPr>
              <w:t>#30</w:t>
            </w:r>
          </w:p>
        </w:tc>
        <w:tc>
          <w:tcPr>
            <w:tcW w:type="dxa" w:w="864"/>
            <w:shd w:fill="EAF0F6"/>
          </w:tcPr>
          <w:p>
            <w:r>
              <w:rPr>
                <w:sz w:val="18"/>
              </w:rPr>
              <w:t>6.2</w:t>
            </w:r>
          </w:p>
        </w:tc>
        <w:tc>
          <w:tcPr>
            <w:tcW w:type="dxa" w:w="1008"/>
            <w:shd w:fill="EAF0F6"/>
          </w:tcPr>
          <w:p>
            <w:r>
              <w:rPr>
                <w:sz w:val="18"/>
              </w:rPr>
              <w:t>10</w:t>
            </w:r>
          </w:p>
        </w:tc>
        <w:tc>
          <w:tcPr>
            <w:tcW w:type="dxa" w:w="1008"/>
            <w:shd w:fill="EAF0F6"/>
          </w:tcPr>
          <w:p>
            <w:r>
              <w:rPr>
                <w:sz w:val="18"/>
              </w:rPr>
              <w:t>3.7</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17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#30:</w:t>
      </w:r>
    </w:p>
    <w:p>
      <w:pPr>
        <w:spacing w:after="120"/>
      </w:pPr>
      <w:r>
        <w:rPr>
          <w:b w:val="0"/>
          <w:i w:val="0"/>
          <w:color w:val="000000"/>
          <w:sz w:val="21"/>
        </w:rPr>
        <w:t>The living-off-the-land campaign uses legitimate administrative tools, producing a broad but moderate behavioral footprint — 10 features elevated beyond 1.5 standard deviations across access and endpoint behavior. It ranks #30 of 250, still within the top 12%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10.6%</w:t>
            </w:r>
          </w:p>
        </w:tc>
        <w:tc>
          <w:tcPr>
            <w:tcW w:type="dxa" w:w="4032"/>
          </w:tcPr>
          <w:p>
            <w:r>
              <w:rPr>
                <w:sz w:val="18"/>
              </w:rPr>
              <w:t>Detects all 4 with zone-level</w:t>
              <w:br/>
              <w:t>explanation. 26 FP — each with</w:t>
              <w:br/>
              <w:t>behavioral phase attribution.</w:t>
            </w:r>
          </w:p>
        </w:tc>
      </w:tr>
    </w:tbl>
    <w:p/>
    <w:p>
      <w:pPr>
        <w:spacing w:after="120"/>
      </w:pPr>
      <w:r>
        <w:rPr>
          <w:b w:val="0"/>
          <w:i w:val="0"/>
          <w:color w:val="000000"/>
          <w:sz w:val="21"/>
        </w:rPr>
        <w:t>Composite scoring's 10.6% false positive rate corresponds to 26 normal users flagged alongside the 4 attackers at the 90th-percentile threshold. In an operational setting, these 26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10.6%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51.7</w:t>
            </w:r>
          </w:p>
        </w:tc>
        <w:tc>
          <w:tcPr>
            <w:tcW w:type="dxa" w:w="720"/>
          </w:tcPr>
          <w:p>
            <w:r>
              <w:rPr>
                <w:sz w:val="18"/>
              </w:rPr>
              <w:t>#1</w:t>
            </w:r>
          </w:p>
        </w:tc>
        <w:tc>
          <w:tcPr>
            <w:tcW w:type="dxa" w:w="5472"/>
          </w:tcPr>
          <w:p>
            <w:r>
              <w:rPr>
                <w:sz w:val="18"/>
              </w:rPr>
              <w:t>Signal Strength (30.6) + Breadth (17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20.0</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12.9</w:t>
            </w:r>
          </w:p>
        </w:tc>
        <w:tc>
          <w:tcPr>
            <w:tcW w:type="dxa" w:w="720"/>
            <w:shd w:fill="EAF0F6"/>
          </w:tcPr>
          <w:p>
            <w:r>
              <w:rPr>
                <w:sz w:val="18"/>
              </w:rPr>
              <w:t>#30</w:t>
            </w:r>
          </w:p>
        </w:tc>
        <w:tc>
          <w:tcPr>
            <w:tcW w:type="dxa" w:w="5472"/>
            <w:shd w:fill="EAF0F6"/>
          </w:tcPr>
          <w:p>
            <w:r>
              <w:rPr>
                <w:sz w:val="18"/>
              </w:rPr>
              <w:t>Signal Strength (6.2) + Breadth (10 features &gt;1.5σ)</w:t>
              <w:br/>
              <w:t>LOTL tools create cross-context anomalies</w:t>
            </w:r>
          </w:p>
        </w:tc>
      </w:tr>
    </w:tbl>
    <w:p/>
    <w:p>
      <w:pPr>
        <w:spacing w:after="120"/>
      </w:pPr>
      <w:r>
        <w:rPr>
          <w:b w:val="0"/>
          <w:i w:val="0"/>
          <w:color w:val="000000"/>
          <w:sz w:val="21"/>
        </w:rPr>
        <w:t>All four attackers rank in the top 30 of 250 users (top 12%). At the 90th percentile detection threshold, 4 of 4 attacks are detected with a false positive rate of 10.6% (26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10.6%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20.0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