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rFonts w:ascii="Calibri" w:hAnsi="Calibri"/>
          <w:b/>
          <w:color w:val="0D1B2A"/>
          <w:sz w:val="72"/>
        </w:rPr>
        <w:t>ACECARD</w:t>
      </w:r>
    </w:p>
    <w:p>
      <w:pPr>
        <w:spacing w:after="400"/>
        <w:jc w:val="center"/>
      </w:pPr>
      <w:r>
        <w:rPr>
          <w:rFonts w:ascii="Calibri" w:hAnsi="Calibri"/>
          <w:b w:val="0"/>
          <w:color w:val="1B3A5C"/>
          <w:sz w:val="40"/>
        </w:rPr>
        <w:t>Proving Behavioral Drift Detection Superiority</w:t>
        <w:br/>
        <w:t>Over Traditional Anomaly Detection</w:t>
      </w:r>
    </w:p>
    <w:p>
      <w:pPr>
        <w:jc w:val="center"/>
        <w:pBdr>
          <w:bottom w:val="single" w:sz="12" w:space="1" w:color="0D1B2A"/>
        </w:pBdr>
      </w:pPr>
    </w:p>
    <w:p>
      <w:pPr>
        <w:spacing w:after="600" w:before="240"/>
        <w:jc w:val="center"/>
      </w:pPr>
      <w:r>
        <w:rPr>
          <w:rFonts w:ascii="Calibri" w:hAnsi="Calibri"/>
          <w:b w:val="0"/>
          <w:color w:val="0D1B2A"/>
          <w:sz w:val="28"/>
        </w:rPr>
        <w:t>Empirical Analysis of 8 Detection Approaches</w:t>
        <w:br/>
        <w:t>Across 130 Days of Cyber Telemetry</w:t>
      </w:r>
    </w:p>
    <w:p>
      <w:pPr>
        <w:spacing w:after="120"/>
        <w:jc w:val="center"/>
      </w:pPr>
      <w:r>
        <w:rPr>
          <w:rFonts w:ascii="Calibri" w:hAnsi="Calibri"/>
          <w:b/>
          <w:color w:val="0D1B2A"/>
          <w:sz w:val="28"/>
        </w:rPr>
        <w:t>22nd Century Technologies, Inc.</w:t>
      </w:r>
    </w:p>
    <w:p>
      <w:pPr>
        <w:spacing w:after="600"/>
        <w:jc w:val="center"/>
      </w:pPr>
      <w:r>
        <w:rPr>
          <w:rFonts w:ascii="Calibri" w:hAnsi="Calibri"/>
          <w:b w:val="0"/>
          <w:color w:val="1B3A5C"/>
          <w:sz w:val="24"/>
        </w:rPr>
        <w:t>May 2025</w:t>
      </w:r>
    </w:p>
    <w:p>
      <w:pPr>
        <w:spacing w:after="0"/>
        <w:jc w:val="center"/>
      </w:pPr>
      <w:r>
        <w:rPr>
          <w:rFonts w:ascii="Calibri" w:hAnsi="Calibri"/>
          <w:b/>
          <w:color w:val="C0392B"/>
          <w:sz w:val="22"/>
        </w:rPr>
        <w:t>INTERNAL — FOR EVALUATION PURPOSES</w:t>
      </w:r>
    </w:p>
    <w:p>
      <w:r>
        <w:br w:type="page"/>
      </w:r>
    </w:p>
    <w:p>
      <w:pPr>
        <w:pStyle w:val="Heading1"/>
        <w:spacing w:before="360" w:after="160"/>
      </w:pPr>
      <w:r>
        <w:rPr>
          <w:rFonts w:ascii="Calibri" w:hAnsi="Calibri"/>
          <w:color w:val="0D1B2A"/>
        </w:rPr>
        <w:t>Executive Summary</w:t>
      </w:r>
    </w:p>
    <w:p>
      <w:pPr>
        <w:spacing w:after="120" w:before="0" w:line="280" w:lineRule="exact"/>
      </w:pPr>
      <w:r>
        <w:rPr>
          <w:rFonts w:ascii="Calibri" w:hAnsi="Calibri"/>
          <w:b w:val="0"/>
          <w:color w:val="000000"/>
          <w:sz w:val="22"/>
        </w:rPr>
        <w:t>This report presents empirical evidence that traditional anomaly detection algorithms are structurally unable to detect the most dangerous category of cyber attacks: those that change behavioral direction without changing behavioral volume. We tested seventeen distinct detection approaches across three tiers—traditional ML, ACECARD behavioral analysis, and Digital Entity zone-based analysis—against a synthetic dataset spanning 130 days of telemetry from 50 users, including four carefully designed attack scenarios: an 8-month insider threat, a 180-day slow APT, a 115-day Volt Typhoon living-off-the-land campaign, and a 100-day Salt Typhoon telecom interception operation.</w:t>
      </w:r>
    </w:p>
    <w:p>
      <w:pPr>
        <w:spacing w:after="120" w:before="0" w:line="280" w:lineRule="exact"/>
      </w:pPr>
      <w:r>
        <w:rPr>
          <w:rFonts w:ascii="Calibri" w:hAnsi="Calibri"/>
          <w:b w:val="0"/>
          <w:color w:val="000000"/>
          <w:sz w:val="22"/>
        </w:rPr>
        <w:t>The results reveal a critical blind spot. The best traditional method—Local Outlier Factor (LOF)—detects three of four attacks (APT, Volt Typhoon, Salt Typhoon) at 0% false positive rate, but completely misses the insider threat (USR-156). No single traditional algorithm detects all four campaigns at viable false positive rates. The insider changes WHAT they access, not HOW MUCH—and traditional methods are structurally blind to this distinction.</w:t>
      </w:r>
    </w:p>
    <w:p>
      <w:pPr>
        <w:spacing w:after="120" w:before="0" w:line="280" w:lineRule="exact"/>
      </w:pPr>
      <w:r>
        <w:rPr>
          <w:rFonts w:ascii="Calibri" w:hAnsi="Calibri"/>
          <w:b w:val="0"/>
          <w:color w:val="000000"/>
          <w:sz w:val="22"/>
        </w:rPr>
        <w:t>Temporal approaches that detect all four campaigns achieve this at catastrophic false positive rates: Temporal Z-Score flags 100% of users as anomalous. Feature CUSUM achieves 6.5% FP but only detects 2 of 4 attacks. These methods detect behavioral change but cannot distinguish threat-related drift from normal behavioral evolution.</w:t>
      </w:r>
    </w:p>
    <w:p>
      <w:pPr>
        <w:spacing w:after="120" w:before="0" w:line="280" w:lineRule="exact"/>
      </w:pPr>
      <w:r>
        <w:rPr>
          <w:rFonts w:ascii="Calibri" w:hAnsi="Calibri"/>
          <w:b w:val="0"/>
          <w:color w:val="000000"/>
          <w:sz w:val="22"/>
        </w:rPr>
        <w:t>Tier 3 zone-based behavioral analysis closes this gap. Zone Divergence detection identifies USR-156 and USR-234 by analyzing which behavioral dimensions drift while identity remains stable—a signal invisible to aggregate-level traditional analysis. When combined with LOF, the optimal 2-method ensemble detects ALL FOUR attack campaigns at only 6.5% false positive rate—operationally viable for SOC deployment and the lowest FP rate of any method combination that achieves full attack coverage.</w:t>
      </w:r>
    </w:p>
    <w:p>
      <w:r>
        <w:br w:type="page"/>
      </w:r>
    </w:p>
    <w:p>
      <w:pPr>
        <w:pStyle w:val="Heading1"/>
        <w:spacing w:before="360" w:after="160"/>
      </w:pPr>
      <w:r>
        <w:rPr>
          <w:rFonts w:ascii="Calibri" w:hAnsi="Calibri"/>
          <w:color w:val="0D1B2A"/>
        </w:rPr>
        <w:t>1. Introduction &amp; Problem Statement</w:t>
      </w:r>
    </w:p>
    <w:p>
      <w:pPr>
        <w:spacing w:after="120" w:before="0" w:line="280" w:lineRule="exact"/>
      </w:pPr>
      <w:r>
        <w:rPr>
          <w:rFonts w:ascii="Calibri" w:hAnsi="Calibri"/>
          <w:b w:val="0"/>
          <w:color w:val="000000"/>
          <w:sz w:val="22"/>
        </w:rPr>
        <w:t>Federal agencies face an increasingly hostile cyber threat landscape characterized by adversaries who are patient, well-resourced, and operationally sophisticated. Nation-state actors such as Volt Typhoon and Salt Typhoon have demonstrated the ability to maintain persistent access to critical infrastructure networks for months or even years without detection. These campaigns do not rely on dramatic, noisy intrusion techniques. Instead, they exploit legitimate credentials, move laterally through trusted channels, and exfiltrate data in volumes carefully calibrated to stay below alert thresholds.</w:t>
      </w:r>
    </w:p>
    <w:p>
      <w:pPr>
        <w:pStyle w:val="Heading2"/>
        <w:spacing w:before="240" w:after="160"/>
      </w:pPr>
      <w:r>
        <w:rPr>
          <w:rFonts w:ascii="Calibri" w:hAnsi="Calibri"/>
          <w:color w:val="0D1B2A"/>
        </w:rPr>
        <w:t>The SIEM Detection Gap</w:t>
      </w:r>
    </w:p>
    <w:p>
      <w:pPr>
        <w:spacing w:after="120" w:before="0" w:line="280" w:lineRule="exact"/>
      </w:pPr>
      <w:r>
        <w:rPr>
          <w:rFonts w:ascii="Calibri" w:hAnsi="Calibri"/>
          <w:b w:val="0"/>
          <w:color w:val="000000"/>
          <w:sz w:val="22"/>
        </w:rPr>
        <w:t>Traditional Security Information and Event Management (SIEM) systems rely on signature-based rules and static thresholds. An alert fires when failed logins exceed 10 in five minutes, when outbound data exceeds 500 MB in an hour, or when a known malicious hash appears in endpoint telemetry. These approaches are effective against commodity threats—ransomware, brute-force attacks, and known malware—but they are architecturally incapable of detecting threats that operate within normal parameters on any given day.</w:t>
      </w:r>
    </w:p>
    <w:p>
      <w:pPr>
        <w:spacing w:after="120" w:before="0" w:line="280" w:lineRule="exact"/>
      </w:pPr>
      <w:r>
        <w:rPr>
          <w:rFonts w:ascii="Calibri" w:hAnsi="Calibri"/>
          <w:b w:val="0"/>
          <w:color w:val="000000"/>
          <w:sz w:val="22"/>
        </w:rPr>
        <w:t>Consider an insider threat actor who increases their access to restricted files by 2% per month. On any individual day, their behavior is indistinguishable from their peers. No threshold is violated. No signature matches. Yet over eight months, they have systematically escalated from routine document access to staging and exfiltrating classified material. This is the detection problem that motivated our analysis.</w:t>
      </w:r>
    </w:p>
    <w:p>
      <w:pPr>
        <w:pStyle w:val="Heading2"/>
        <w:spacing w:before="240" w:after="160"/>
      </w:pPr>
      <w:r>
        <w:rPr>
          <w:rFonts w:ascii="Calibri" w:hAnsi="Calibri"/>
          <w:color w:val="0D1B2A"/>
        </w:rPr>
        <w:t>The Challenge of Slow and Stealthy Attacks</w:t>
      </w:r>
    </w:p>
    <w:p>
      <w:pPr>
        <w:spacing w:after="120" w:before="0" w:line="280" w:lineRule="exact"/>
      </w:pPr>
      <w:r>
        <w:rPr>
          <w:rFonts w:ascii="Calibri" w:hAnsi="Calibri"/>
          <w:b w:val="0"/>
          <w:color w:val="000000"/>
          <w:sz w:val="22"/>
        </w:rPr>
        <w:t>Slow attacks exploit a fundamental weakness in point-in-time detection: they spread their anomalous behavior across a timeline long enough that any single observation falls within normal variance. The attacker's operational security is not based on evasion techniques—it is based on patience. They rely on the mathematical certainty that statistical methods designed to find outliers cannot detect a signal that is never, at any individual moment, an outlier.</w:t>
      </w:r>
    </w:p>
    <w:p>
      <w:pPr>
        <w:spacing w:after="120" w:before="0" w:line="280" w:lineRule="exact"/>
      </w:pPr>
      <w:r>
        <w:rPr>
          <w:rFonts w:ascii="Calibri" w:hAnsi="Calibri"/>
          <w:b w:val="0"/>
          <w:color w:val="000000"/>
          <w:sz w:val="22"/>
        </w:rPr>
        <w:t>This report tests whether current anomaly detection algorithms can overcome this limitation, and demonstrates that a fundamentally different approach—behavioral drift analysis in semantic space—is required to close the detection gap.</w:t>
      </w:r>
    </w:p>
    <w:p>
      <w:r>
        <w:br w:type="page"/>
      </w:r>
    </w:p>
    <w:p>
      <w:pPr>
        <w:pStyle w:val="Heading1"/>
        <w:spacing w:before="360" w:after="160"/>
      </w:pPr>
      <w:r>
        <w:rPr>
          <w:rFonts w:ascii="Calibri" w:hAnsi="Calibri"/>
          <w:color w:val="0D1B2A"/>
        </w:rPr>
        <w:t>2. Synthetic Data Generation</w:t>
      </w:r>
    </w:p>
    <w:p>
      <w:pPr>
        <w:spacing w:after="120" w:before="0" w:line="280" w:lineRule="exact"/>
      </w:pPr>
      <w:r>
        <w:rPr>
          <w:rFonts w:ascii="Calibri" w:hAnsi="Calibri"/>
          <w:b w:val="0"/>
          <w:color w:val="000000"/>
          <w:sz w:val="22"/>
        </w:rPr>
        <w:t>To rigorously evaluate detection algorithms, we constructed a synthetic telemetry dataset that mirrors the scale, diversity, and behavioral patterns of a mid-sized federal agency network. Synthetic data was chosen deliberately: it allows us to inject known attack scenarios with ground truth labels, ensuring that we can objectively measure detection rates and false positive rates without ambiguity.</w:t>
      </w:r>
    </w:p>
    <w:p>
      <w:pPr>
        <w:pStyle w:val="Heading2"/>
        <w:spacing w:before="240" w:after="160"/>
      </w:pPr>
      <w:r>
        <w:rPr>
          <w:rFonts w:ascii="Calibri" w:hAnsi="Calibri"/>
          <w:color w:val="0D1B2A"/>
        </w:rPr>
        <w:t>Dataset Overview</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4680"/>
        <w:gridCol w:w="4680"/>
      </w:tblGrid>
      <w:tr>
        <w:tc>
          <w:tcPr>
            <w:tcW w:type="dxa" w:w="4680"/>
            <w:shd w:fill="0D1B2A" w:val="clear"/>
          </w:tcPr>
          <w:p>
            <w:pPr>
              <w:jc w:val="center"/>
            </w:pPr>
            <w:r/>
            <w:r>
              <w:rPr>
                <w:rFonts w:ascii="Calibri" w:hAnsi="Calibri"/>
                <w:b/>
                <w:color w:val="FFFFFF"/>
                <w:sz w:val="20"/>
              </w:rPr>
              <w:t>Parameter</w:t>
            </w:r>
          </w:p>
        </w:tc>
        <w:tc>
          <w:tcPr>
            <w:tcW w:type="dxa" w:w="4680"/>
            <w:shd w:fill="0D1B2A" w:val="clear"/>
          </w:tcPr>
          <w:p>
            <w:pPr>
              <w:jc w:val="center"/>
            </w:pPr>
            <w:r/>
            <w:r>
              <w:rPr>
                <w:rFonts w:ascii="Calibri" w:hAnsi="Calibri"/>
                <w:b/>
                <w:color w:val="FFFFFF"/>
                <w:sz w:val="20"/>
              </w:rPr>
              <w:t>Value</w:t>
            </w:r>
          </w:p>
        </w:tc>
      </w:tr>
      <w:tr>
        <w:tc>
          <w:tcPr>
            <w:tcW w:type="dxa" w:w="4680"/>
          </w:tcPr>
          <w:p>
            <w:r/>
            <w:r>
              <w:rPr>
                <w:rFonts w:ascii="Calibri" w:hAnsi="Calibri"/>
                <w:b/>
                <w:sz w:val="20"/>
              </w:rPr>
              <w:t>Time Period</w:t>
            </w:r>
          </w:p>
        </w:tc>
        <w:tc>
          <w:tcPr>
            <w:tcW w:type="dxa" w:w="4680"/>
          </w:tcPr>
          <w:p>
            <w:r/>
            <w:r>
              <w:rPr>
                <w:rFonts w:ascii="Calibri" w:hAnsi="Calibri"/>
                <w:sz w:val="20"/>
              </w:rPr>
              <w:t>130 days (2025-01-01 to 2025-05-11)</w:t>
            </w:r>
          </w:p>
        </w:tc>
      </w:tr>
      <w:tr>
        <w:tc>
          <w:tcPr>
            <w:tcW w:type="dxa" w:w="4680"/>
            <w:shd w:fill="EAF0F6" w:val="clear"/>
          </w:tcPr>
          <w:p>
            <w:r/>
            <w:r>
              <w:rPr>
                <w:rFonts w:ascii="Calibri" w:hAnsi="Calibri"/>
                <w:b/>
                <w:sz w:val="20"/>
              </w:rPr>
              <w:t>Users Analyzed</w:t>
            </w:r>
          </w:p>
        </w:tc>
        <w:tc>
          <w:tcPr>
            <w:tcW w:type="dxa" w:w="4680"/>
            <w:shd w:fill="EAF0F6" w:val="clear"/>
          </w:tcPr>
          <w:p>
            <w:r/>
            <w:r>
              <w:rPr>
                <w:rFonts w:ascii="Calibri" w:hAnsi="Calibri"/>
                <w:sz w:val="20"/>
              </w:rPr>
              <w:t>50 (4 attack targets + 46 normal)</w:t>
            </w:r>
          </w:p>
        </w:tc>
      </w:tr>
      <w:tr>
        <w:tc>
          <w:tcPr>
            <w:tcW w:type="dxa" w:w="4680"/>
          </w:tcPr>
          <w:p>
            <w:r/>
            <w:r>
              <w:rPr>
                <w:rFonts w:ascii="Calibri" w:hAnsi="Calibri"/>
                <w:b/>
                <w:sz w:val="20"/>
              </w:rPr>
              <w:t>Weekly Time Windows</w:t>
            </w:r>
          </w:p>
        </w:tc>
        <w:tc>
          <w:tcPr>
            <w:tcW w:type="dxa" w:w="4680"/>
          </w:tcPr>
          <w:p>
            <w:r/>
            <w:r>
              <w:rPr>
                <w:rFonts w:ascii="Calibri" w:hAnsi="Calibri"/>
                <w:sz w:val="20"/>
              </w:rPr>
              <w:t>19</w:t>
            </w:r>
          </w:p>
        </w:tc>
      </w:tr>
      <w:tr>
        <w:tc>
          <w:tcPr>
            <w:tcW w:type="dxa" w:w="4680"/>
            <w:shd w:fill="EAF0F6" w:val="clear"/>
          </w:tcPr>
          <w:p>
            <w:r/>
            <w:r>
              <w:rPr>
                <w:rFonts w:ascii="Calibri" w:hAnsi="Calibri"/>
                <w:b/>
                <w:sz w:val="20"/>
              </w:rPr>
              <w:t>Feature Vectors</w:t>
            </w:r>
          </w:p>
        </w:tc>
        <w:tc>
          <w:tcPr>
            <w:tcW w:type="dxa" w:w="4680"/>
            <w:shd w:fill="EAF0F6" w:val="clear"/>
          </w:tcPr>
          <w:p>
            <w:r/>
            <w:r>
              <w:rPr>
                <w:rFonts w:ascii="Calibri" w:hAnsi="Calibri"/>
                <w:sz w:val="20"/>
              </w:rPr>
              <w:t>950 (50 users x 19 weeks)</w:t>
            </w:r>
          </w:p>
        </w:tc>
      </w:tr>
      <w:tr>
        <w:tc>
          <w:tcPr>
            <w:tcW w:type="dxa" w:w="4680"/>
          </w:tcPr>
          <w:p>
            <w:r/>
            <w:r>
              <w:rPr>
                <w:rFonts w:ascii="Calibri" w:hAnsi="Calibri"/>
                <w:b/>
                <w:sz w:val="20"/>
              </w:rPr>
              <w:t>Features per Vector</w:t>
            </w:r>
          </w:p>
        </w:tc>
        <w:tc>
          <w:tcPr>
            <w:tcW w:type="dxa" w:w="4680"/>
          </w:tcPr>
          <w:p>
            <w:r/>
            <w:r>
              <w:rPr>
                <w:rFonts w:ascii="Calibri" w:hAnsi="Calibri"/>
                <w:sz w:val="20"/>
              </w:rPr>
              <w:t>23 behavioral features</w:t>
            </w:r>
          </w:p>
        </w:tc>
      </w:tr>
      <w:tr>
        <w:tc>
          <w:tcPr>
            <w:tcW w:type="dxa" w:w="4680"/>
            <w:shd w:fill="EAF0F6" w:val="clear"/>
          </w:tcPr>
          <w:p>
            <w:r/>
            <w:r>
              <w:rPr>
                <w:rFonts w:ascii="Calibri" w:hAnsi="Calibri"/>
                <w:b/>
                <w:sz w:val="20"/>
              </w:rPr>
              <w:t>Log Types</w:t>
            </w:r>
          </w:p>
        </w:tc>
        <w:tc>
          <w:tcPr>
            <w:tcW w:type="dxa" w:w="4680"/>
            <w:shd w:fill="EAF0F6" w:val="clear"/>
          </w:tcPr>
          <w:p>
            <w:r/>
            <w:r>
              <w:rPr>
                <w:rFonts w:ascii="Calibri" w:hAnsi="Calibri"/>
                <w:sz w:val="20"/>
              </w:rPr>
              <w:t>7 (auth, network, file_access, endpoint, dns, app, cloud)</w:t>
            </w:r>
          </w:p>
        </w:tc>
      </w:tr>
      <w:tr>
        <w:tc>
          <w:tcPr>
            <w:tcW w:type="dxa" w:w="4680"/>
          </w:tcPr>
          <w:p>
            <w:r/>
            <w:r>
              <w:rPr>
                <w:rFonts w:ascii="Calibri" w:hAnsi="Calibri"/>
                <w:b/>
                <w:sz w:val="20"/>
              </w:rPr>
              <w:t>Attack Scenarios</w:t>
            </w:r>
          </w:p>
        </w:tc>
        <w:tc>
          <w:tcPr>
            <w:tcW w:type="dxa" w:w="4680"/>
          </w:tcPr>
          <w:p>
            <w:r/>
            <w:r>
              <w:rPr>
                <w:rFonts w:ascii="Calibri" w:hAnsi="Calibri"/>
                <w:sz w:val="20"/>
              </w:rPr>
              <w:t>4 active campaigns across dataset</w:t>
            </w:r>
          </w:p>
        </w:tc>
      </w:tr>
    </w:tbl>
    <w:p/>
    <w:p>
      <w:pPr>
        <w:pStyle w:val="Heading2"/>
        <w:spacing w:before="240" w:after="160"/>
      </w:pPr>
      <w:r>
        <w:rPr>
          <w:rFonts w:ascii="Calibri" w:hAnsi="Calibri"/>
          <w:color w:val="0D1B2A"/>
        </w:rPr>
        <w:t>Telemetry Log Types</w:t>
      </w:r>
    </w:p>
    <w:p>
      <w:pPr>
        <w:spacing w:after="120" w:before="0" w:line="280" w:lineRule="exact"/>
      </w:pPr>
      <w:r>
        <w:rPr>
          <w:rFonts w:ascii="Calibri" w:hAnsi="Calibri"/>
          <w:b w:val="0"/>
          <w:color w:val="000000"/>
          <w:sz w:val="22"/>
        </w:rPr>
        <w:t>Seven distinct log categories were generated to replicate the breadth of data available in a typical federal SIEM deployment:</w:t>
      </w:r>
    </w:p>
    <w:p>
      <w:pPr>
        <w:pStyle w:val="ListBullet"/>
        <w:spacing w:after="60" w:before="0"/>
      </w:pPr>
      <w:r>
        <w:rPr>
          <w:rFonts w:ascii="Calibri" w:hAnsi="Calibri"/>
          <w:b/>
          <w:sz w:val="22"/>
        </w:rPr>
        <w:t xml:space="preserve">Authentication Logs: </w:t>
      </w:r>
      <w:r>
        <w:rPr>
          <w:rFonts w:ascii="Calibri" w:hAnsi="Calibri"/>
          <w:sz w:val="22"/>
        </w:rPr>
        <w:t>Login/logout events, failed attempts, multi-factor authentication usage, source IP addresses, destination systems, and time-of-day patterns.</w:t>
      </w:r>
    </w:p>
    <w:p>
      <w:pPr>
        <w:pStyle w:val="ListBullet"/>
        <w:spacing w:after="60" w:before="0"/>
      </w:pPr>
      <w:r>
        <w:rPr>
          <w:rFonts w:ascii="Calibri" w:hAnsi="Calibri"/>
          <w:b/>
          <w:sz w:val="22"/>
        </w:rPr>
        <w:t xml:space="preserve">Network Flow Logs: </w:t>
      </w:r>
      <w:r>
        <w:rPr>
          <w:rFonts w:ascii="Calibri" w:hAnsi="Calibri"/>
          <w:sz w:val="22"/>
        </w:rPr>
        <w:t>Connection metadata including bytes transferred, source and destination addresses, protocol usage, and external vs. internal traffic ratios.</w:t>
      </w:r>
    </w:p>
    <w:p>
      <w:pPr>
        <w:pStyle w:val="ListBullet"/>
        <w:spacing w:after="60" w:before="0"/>
      </w:pPr>
      <w:r>
        <w:rPr>
          <w:rFonts w:ascii="Calibri" w:hAnsi="Calibri"/>
          <w:b/>
          <w:sz w:val="22"/>
        </w:rPr>
        <w:t xml:space="preserve">File Access Logs: </w:t>
      </w:r>
      <w:r>
        <w:rPr>
          <w:rFonts w:ascii="Calibri" w:hAnsi="Calibri"/>
          <w:sz w:val="22"/>
        </w:rPr>
        <w:t>Document access events with file paths, classification levels, read/write operations, and total bytes accessed.</w:t>
      </w:r>
    </w:p>
    <w:p>
      <w:pPr>
        <w:pStyle w:val="ListBullet"/>
        <w:spacing w:after="60" w:before="0"/>
      </w:pPr>
      <w:r>
        <w:rPr>
          <w:rFonts w:ascii="Calibri" w:hAnsi="Calibri"/>
          <w:b/>
          <w:sz w:val="22"/>
        </w:rPr>
        <w:t xml:space="preserve">Endpoint Telemetry: </w:t>
      </w:r>
      <w:r>
        <w:rPr>
          <w:rFonts w:ascii="Calibri" w:hAnsi="Calibri"/>
          <w:sz w:val="22"/>
        </w:rPr>
        <w:t>Process execution events, risk scores, suspicious process indicators, and unique process counts.</w:t>
      </w:r>
    </w:p>
    <w:p>
      <w:pPr>
        <w:pStyle w:val="ListBullet"/>
        <w:spacing w:after="60" w:before="0"/>
      </w:pPr>
      <w:r>
        <w:rPr>
          <w:rFonts w:ascii="Calibri" w:hAnsi="Calibri"/>
          <w:b/>
          <w:sz w:val="22"/>
        </w:rPr>
        <w:t xml:space="preserve">DNS Query Logs: </w:t>
      </w:r>
      <w:r>
        <w:rPr>
          <w:rFonts w:ascii="Calibri" w:hAnsi="Calibri"/>
          <w:sz w:val="22"/>
        </w:rPr>
        <w:t>Domain resolutions, NXDOMAIN responses (indicative of domain generation algorithms), and unique domain diversity.</w:t>
      </w:r>
    </w:p>
    <w:p>
      <w:pPr>
        <w:pStyle w:val="ListBullet"/>
        <w:spacing w:after="60" w:before="0"/>
      </w:pPr>
      <w:r>
        <w:rPr>
          <w:rFonts w:ascii="Calibri" w:hAnsi="Calibri"/>
          <w:b/>
          <w:sz w:val="22"/>
        </w:rPr>
        <w:t xml:space="preserve">Application Logs: </w:t>
      </w:r>
      <w:r>
        <w:rPr>
          <w:rFonts w:ascii="Calibri" w:hAnsi="Calibri"/>
          <w:sz w:val="22"/>
        </w:rPr>
        <w:t>SaaS and on-premise application usage patterns, session durations, and access patterns.</w:t>
      </w:r>
    </w:p>
    <w:p>
      <w:pPr>
        <w:pStyle w:val="ListBullet"/>
        <w:spacing w:after="60" w:before="0"/>
      </w:pPr>
      <w:r>
        <w:rPr>
          <w:rFonts w:ascii="Calibri" w:hAnsi="Calibri"/>
          <w:b/>
          <w:sz w:val="22"/>
        </w:rPr>
        <w:t xml:space="preserve">Cloud Activity Logs: </w:t>
      </w:r>
      <w:r>
        <w:rPr>
          <w:rFonts w:ascii="Calibri" w:hAnsi="Calibri"/>
          <w:sz w:val="22"/>
        </w:rPr>
        <w:t>Cloud service API calls, resource provisioning, and cross-environment access patterns.</w:t>
      </w:r>
    </w:p>
    <w:p>
      <w:pPr>
        <w:pStyle w:val="Heading2"/>
        <w:spacing w:before="240" w:after="160"/>
      </w:pPr>
      <w:r>
        <w:rPr>
          <w:rFonts w:ascii="Calibri" w:hAnsi="Calibri"/>
          <w:color w:val="0D1B2A"/>
        </w:rPr>
        <w:t>Attack Scenarios</w:t>
      </w:r>
    </w:p>
    <w:p>
      <w:pPr>
        <w:spacing w:after="120" w:before="0" w:line="280" w:lineRule="exact"/>
      </w:pPr>
      <w:r>
        <w:rPr>
          <w:rFonts w:ascii="Calibri" w:hAnsi="Calibri"/>
          <w:b w:val="0"/>
          <w:color w:val="000000"/>
          <w:sz w:val="22"/>
        </w:rPr>
        <w:t>Four attack campaigns were injected into the dataset, designed specifically to test the detection boundary between visible and invisible threats:</w:t>
      </w:r>
    </w:p>
    <w:p>
      <w:pPr>
        <w:pStyle w:val="Heading3"/>
        <w:spacing w:before="240" w:after="160"/>
      </w:pPr>
      <w:r>
        <w:rPr>
          <w:rFonts w:ascii="Calibri" w:hAnsi="Calibri"/>
          <w:color w:val="0D1B2A"/>
        </w:rPr>
        <w:t>ATK-004: Insider Threat (USR-156)</w:t>
      </w:r>
    </w:p>
    <w:p>
      <w:pPr>
        <w:spacing w:after="120" w:before="0" w:line="280" w:lineRule="exact"/>
      </w:pPr>
      <w:r>
        <w:rPr>
          <w:rFonts w:ascii="Calibri" w:hAnsi="Calibri"/>
          <w:b w:val="0"/>
          <w:color w:val="000000"/>
          <w:sz w:val="22"/>
        </w:rPr>
        <w:t>An 8-month slow escalation campaign comprising four distinct phases: initial mood shift and dissatisfaction indicators, exploratory access to restricted resources, systematic data staging, and final exfiltration. The behavioral changes are stealthy and individually unremarkable: off-hours logins at 15% (not sudden spikes), scope creep of 20-30% across phases, and Phase 4 exfiltration via trickle methods (USB 10% chance, email 12%, cloud 10-18%) with file sizes kept under 2MB. This scenario is modeled on documented insider threat cases from the CERT Insider Threat Center.</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T1078 (Valid Accounts), T1083 (File and Directory Discovery), T1005 (Data from Local System), T1039 (Data from Network Shared Drive), T1052 (Exfiltration Over Physical Medium), T1048 (Exfiltration Over Alternative Protocol), T1567 (Exfiltration Over Web Service)</w:t>
      </w:r>
    </w:p>
    <w:p>
      <w:pPr>
        <w:pStyle w:val="Heading3"/>
        <w:spacing w:before="240" w:after="160"/>
      </w:pPr>
      <w:r>
        <w:rPr>
          <w:rFonts w:ascii="Calibri" w:hAnsi="Calibri"/>
          <w:color w:val="0D1B2A"/>
        </w:rPr>
        <w:t>ATK-003: Slow APT with C2 Beaconing (USR-234)</w:t>
      </w:r>
    </w:p>
    <w:p>
      <w:pPr>
        <w:spacing w:after="120" w:before="0" w:line="280" w:lineRule="exact"/>
      </w:pPr>
      <w:r>
        <w:rPr>
          <w:rFonts w:ascii="Calibri" w:hAnsi="Calibri"/>
          <w:b w:val="0"/>
          <w:color w:val="000000"/>
          <w:sz w:val="22"/>
        </w:rPr>
        <w:t>A 180-day advanced persistent threat campaign featuring approximately 4 Command and Control (C2) beacons per day at 6-hour intervals with 90-minute jitter, occasional Domain Generation Algorithm (DGA) DNS queries (40% chance of 1 per day, mostly resolving), and progressive data staging before exfiltration. The C2 traffic is designed to blend with normal HTTPS traffic patterns, and the beacon interval includes substantial jitter to avoid periodic detection. Despite these stealth measures, the C2 beaconing still creates a detectable network footprint through elevated DNS unique domains and NXDOMAIN ratios. Data exfiltration occurs in small, encrypted chunks that individually fall well below data-loss prevention (DLP) thresholds.</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T1071 (Application Layer Protocol), T1573 (Encrypted Channel), T1074 (Data Staged), T1048 (Exfiltration Over Alternative Protocol)</w:t>
      </w:r>
    </w:p>
    <w:p>
      <w:pPr>
        <w:pStyle w:val="Heading3"/>
        <w:spacing w:before="240" w:after="160"/>
      </w:pPr>
      <w:r>
        <w:rPr>
          <w:rFonts w:ascii="Calibri" w:hAnsi="Calibri"/>
          <w:color w:val="0D1B2A"/>
        </w:rPr>
        <w:t>ATK-007: Volt Typhoon Living-off-the-Land (USR-042)</w:t>
      </w:r>
    </w:p>
    <w:p>
      <w:pPr>
        <w:spacing w:after="120" w:before="0" w:line="280" w:lineRule="exact"/>
      </w:pPr>
      <w:r>
        <w:rPr>
          <w:rFonts w:ascii="Calibri" w:hAnsi="Calibri"/>
          <w:b w:val="0"/>
          <w:color w:val="000000"/>
          <w:sz w:val="22"/>
        </w:rPr>
        <w:t>A 115-day nation-state infrastructure pre-positioning campaign beginning January 15, 2025. This attack uses exclusively legitimate administrative tools—RDP, WMI, PsExec—for lateral movement and credential harvesting, making it extremely difficult to distinguish from normal system administration. The attack progresses through credential theft via legitimate tools, lateral movement across the network using approved remote access methods, and infrastructure pre-positioning for potential future operations. Activity volumes and tool usage patterns closely mirror those of legitimate administrators.</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T1078 (Valid Accounts), T1021 (Remote Services), T1047 (WMI), T1569 (System Services), T1003 (OS Credential Dumping), T1570 (Lateral Tool Transfer)</w:t>
      </w:r>
    </w:p>
    <w:p>
      <w:pPr>
        <w:pStyle w:val="Heading3"/>
        <w:spacing w:before="240" w:after="160"/>
      </w:pPr>
      <w:r>
        <w:rPr>
          <w:rFonts w:ascii="Calibri" w:hAnsi="Calibri"/>
          <w:color w:val="0D1B2A"/>
        </w:rPr>
        <w:t>ATK-008: Salt Typhoon Telecom Interception (USR-118)</w:t>
      </w:r>
    </w:p>
    <w:p>
      <w:pPr>
        <w:spacing w:after="120" w:before="0" w:line="280" w:lineRule="exact"/>
      </w:pPr>
      <w:r>
        <w:rPr>
          <w:rFonts w:ascii="Calibri" w:hAnsi="Calibri"/>
          <w:b w:val="0"/>
          <w:color w:val="000000"/>
          <w:sz w:val="22"/>
        </w:rPr>
        <w:t>A 100-day telecom infrastructure interception campaign beginning January 20, 2025. This attack uses DNS tunneling for covert C2 communication, targets call detail records (CDR) and lawful intercept data, and employs staged exfiltration that mimics normal telecom operations. The DNS tunneling creates subtle but detectable patterns in DNS query volumes and NXDOMAIN ratios, while the data access patterns show progressive expansion into increasingly sensitive telecom infrastructure.</w:t>
      </w:r>
    </w:p>
    <w:p>
      <w:pPr>
        <w:spacing w:after="120" w:before="0" w:line="280" w:lineRule="exact"/>
      </w:pPr>
      <w:r>
        <w:rPr>
          <w:rFonts w:ascii="Calibri" w:hAnsi="Calibri"/>
          <w:b/>
          <w:color w:val="000000"/>
          <w:sz w:val="22"/>
        </w:rPr>
        <w:t xml:space="preserve">MITRE ATT&amp;CK Techniques: </w:t>
      </w:r>
      <w:r>
        <w:rPr>
          <w:rFonts w:ascii="Calibri" w:hAnsi="Calibri"/>
          <w:b w:val="0"/>
          <w:color w:val="000000"/>
          <w:sz w:val="22"/>
        </w:rPr>
        <w:t>T1071 (Application Layer Protocol), T1572 (Protocol Tunneling), T1530 (Data from Cloud Storage Object), T1005 (Data from Local System), T1048 (Exfiltration Over Alternative Protocol)</w:t>
      </w:r>
    </w:p>
    <w:p>
      <w:pPr>
        <w:spacing w:after="120" w:before="0" w:line="280" w:lineRule="exact"/>
      </w:pPr>
      <w:r>
        <w:rPr>
          <w:rFonts w:ascii="Calibri" w:hAnsi="Calibri"/>
          <w:b w:val="0"/>
          <w:color w:val="000000"/>
          <w:sz w:val="22"/>
        </w:rPr>
        <w:t>All four attack scenarios operate below traditional detection thresholds, with injected events comprising only 0.05% of total telemetry (~1,877 attack-injected events out of ~3.5 million total). The key differences: USR-042 and USR-118 create detectable network footprints (volume-based anomalies), USR-234's C2 beaconing is more subtle, and USR-156's insider threat changes behavioral direction without changing volume—making it invisible to any method that measures 'how much' rather than 'what kind.'</w:t>
      </w:r>
    </w:p>
    <w:p>
      <w:r>
        <w:br w:type="page"/>
      </w:r>
    </w:p>
    <w:p>
      <w:pPr>
        <w:pStyle w:val="Heading1"/>
        <w:spacing w:before="360" w:after="160"/>
      </w:pPr>
      <w:r>
        <w:rPr>
          <w:rFonts w:ascii="Calibri" w:hAnsi="Calibri"/>
          <w:color w:val="0D1B2A"/>
        </w:rPr>
        <w:t>3. Feature Engineering Methodology</w:t>
      </w:r>
    </w:p>
    <w:p>
      <w:pPr>
        <w:spacing w:after="120" w:before="0" w:line="280" w:lineRule="exact"/>
      </w:pPr>
      <w:r>
        <w:rPr>
          <w:rFonts w:ascii="Calibri" w:hAnsi="Calibri"/>
          <w:b w:val="0"/>
          <w:color w:val="000000"/>
          <w:sz w:val="22"/>
        </w:rPr>
        <w:t>From the seven raw telemetry log types, we engineered 23 behavioral features per user per week. These features were designed to capture the dimensions of user behavior most relevant to insider threat and APT detection, informed by published research from MITRE, NIST, and the CERT Insider Threat Center.</w:t>
      </w:r>
    </w:p>
    <w:p>
      <w:pPr>
        <w:pStyle w:val="Heading2"/>
        <w:spacing w:before="240" w:after="160"/>
      </w:pPr>
      <w:r>
        <w:rPr>
          <w:rFonts w:ascii="Calibri" w:hAnsi="Calibri"/>
          <w:color w:val="0D1B2A"/>
        </w:rPr>
        <w:t>Feature Categories</w:t>
      </w:r>
    </w:p>
    <w:p>
      <w:pPr>
        <w:pStyle w:val="Heading3"/>
        <w:spacing w:before="240" w:after="160"/>
      </w:pPr>
      <w:r>
        <w:rPr>
          <w:rFonts w:ascii="Calibri" w:hAnsi="Calibri"/>
          <w:color w:val="0D1B2A"/>
        </w:rPr>
        <w:t>Authentication Behavior (7 features)</w:t>
      </w:r>
    </w:p>
    <w:p>
      <w:pPr>
        <w:pStyle w:val="ListBullet"/>
        <w:spacing w:after="60" w:before="0"/>
      </w:pPr>
      <w:r>
        <w:rPr>
          <w:rFonts w:ascii="Calibri" w:hAnsi="Calibri"/>
          <w:b/>
          <w:sz w:val="22"/>
        </w:rPr>
        <w:t xml:space="preserve">auth_total: </w:t>
      </w:r>
      <w:r>
        <w:rPr>
          <w:rFonts w:ascii="Calibri" w:hAnsi="Calibri"/>
          <w:sz w:val="22"/>
        </w:rPr>
        <w:t>Total authentication events in the week.</w:t>
      </w:r>
    </w:p>
    <w:p>
      <w:pPr>
        <w:pStyle w:val="ListBullet"/>
        <w:spacing w:after="60" w:before="0"/>
      </w:pPr>
      <w:r>
        <w:rPr>
          <w:rFonts w:ascii="Calibri" w:hAnsi="Calibri"/>
          <w:b/>
          <w:sz w:val="22"/>
        </w:rPr>
        <w:t xml:space="preserve">auth_failed: </w:t>
      </w:r>
      <w:r>
        <w:rPr>
          <w:rFonts w:ascii="Calibri" w:hAnsi="Calibri"/>
          <w:sz w:val="22"/>
        </w:rPr>
        <w:t>Count of failed authentication attempts.</w:t>
      </w:r>
    </w:p>
    <w:p>
      <w:pPr>
        <w:pStyle w:val="ListBullet"/>
        <w:spacing w:after="60" w:before="0"/>
      </w:pPr>
      <w:r>
        <w:rPr>
          <w:rFonts w:ascii="Calibri" w:hAnsi="Calibri"/>
          <w:b/>
          <w:sz w:val="22"/>
        </w:rPr>
        <w:t xml:space="preserve">auth_fail_rate: </w:t>
      </w:r>
      <w:r>
        <w:rPr>
          <w:rFonts w:ascii="Calibri" w:hAnsi="Calibri"/>
          <w:sz w:val="22"/>
        </w:rPr>
        <w:t>Ratio of failed to total authentication events.</w:t>
      </w:r>
    </w:p>
    <w:p>
      <w:pPr>
        <w:pStyle w:val="ListBullet"/>
        <w:spacing w:after="60" w:before="0"/>
      </w:pPr>
      <w:r>
        <w:rPr>
          <w:rFonts w:ascii="Calibri" w:hAnsi="Calibri"/>
          <w:b/>
          <w:sz w:val="22"/>
        </w:rPr>
        <w:t xml:space="preserve">auth_unique_sources: </w:t>
      </w:r>
      <w:r>
        <w:rPr>
          <w:rFonts w:ascii="Calibri" w:hAnsi="Calibri"/>
          <w:sz w:val="22"/>
        </w:rPr>
        <w:t>Number of distinct source systems used for login.</w:t>
      </w:r>
    </w:p>
    <w:p>
      <w:pPr>
        <w:pStyle w:val="ListBullet"/>
        <w:spacing w:after="60" w:before="0"/>
      </w:pPr>
      <w:r>
        <w:rPr>
          <w:rFonts w:ascii="Calibri" w:hAnsi="Calibri"/>
          <w:b/>
          <w:sz w:val="22"/>
        </w:rPr>
        <w:t xml:space="preserve">auth_unique_dests: </w:t>
      </w:r>
      <w:r>
        <w:rPr>
          <w:rFonts w:ascii="Calibri" w:hAnsi="Calibri"/>
          <w:sz w:val="22"/>
        </w:rPr>
        <w:t>Number of distinct destination systems accessed.</w:t>
      </w:r>
    </w:p>
    <w:p>
      <w:pPr>
        <w:pStyle w:val="ListBullet"/>
        <w:spacing w:after="60" w:before="0"/>
      </w:pPr>
      <w:r>
        <w:rPr>
          <w:rFonts w:ascii="Calibri" w:hAnsi="Calibri"/>
          <w:b/>
          <w:sz w:val="22"/>
        </w:rPr>
        <w:t xml:space="preserve">auth_off_hours_ratio: </w:t>
      </w:r>
      <w:r>
        <w:rPr>
          <w:rFonts w:ascii="Calibri" w:hAnsi="Calibri"/>
          <w:sz w:val="22"/>
        </w:rPr>
        <w:t>Proportion of authentication events occurring outside standard business hours (before 7 AM or after 7 PM).</w:t>
      </w:r>
    </w:p>
    <w:p>
      <w:pPr>
        <w:pStyle w:val="ListBullet"/>
        <w:spacing w:after="60" w:before="0"/>
      </w:pPr>
      <w:r>
        <w:rPr>
          <w:rFonts w:ascii="Calibri" w:hAnsi="Calibri"/>
          <w:b/>
          <w:sz w:val="22"/>
        </w:rPr>
        <w:t xml:space="preserve">auth_methods_used: </w:t>
      </w:r>
      <w:r>
        <w:rPr>
          <w:rFonts w:ascii="Calibri" w:hAnsi="Calibri"/>
          <w:sz w:val="22"/>
        </w:rPr>
        <w:t>Count of distinct authentication methods employed (password, MFA, certificate, etc.).</w:t>
      </w:r>
    </w:p>
    <w:p>
      <w:pPr>
        <w:pStyle w:val="Heading3"/>
        <w:spacing w:before="240" w:after="160"/>
      </w:pPr>
      <w:r>
        <w:rPr>
          <w:rFonts w:ascii="Calibri" w:hAnsi="Calibri"/>
          <w:color w:val="0D1B2A"/>
        </w:rPr>
        <w:t>File Access Behavior (6 features)</w:t>
      </w:r>
    </w:p>
    <w:p>
      <w:pPr>
        <w:pStyle w:val="ListBullet"/>
        <w:spacing w:after="60" w:before="0"/>
      </w:pPr>
      <w:r>
        <w:rPr>
          <w:rFonts w:ascii="Calibri" w:hAnsi="Calibri"/>
          <w:b/>
          <w:sz w:val="22"/>
        </w:rPr>
        <w:t xml:space="preserve">file_total: </w:t>
      </w:r>
      <w:r>
        <w:rPr>
          <w:rFonts w:ascii="Calibri" w:hAnsi="Calibri"/>
          <w:sz w:val="22"/>
        </w:rPr>
        <w:t>Total file access events.</w:t>
      </w:r>
    </w:p>
    <w:p>
      <w:pPr>
        <w:pStyle w:val="ListBullet"/>
        <w:spacing w:after="60" w:before="0"/>
      </w:pPr>
      <w:r>
        <w:rPr>
          <w:rFonts w:ascii="Calibri" w:hAnsi="Calibri"/>
          <w:b/>
          <w:sz w:val="22"/>
        </w:rPr>
        <w:t xml:space="preserve">file_unique_paths: </w:t>
      </w:r>
      <w:r>
        <w:rPr>
          <w:rFonts w:ascii="Calibri" w:hAnsi="Calibri"/>
          <w:sz w:val="22"/>
        </w:rPr>
        <w:t>Number of distinct file paths accessed.</w:t>
      </w:r>
    </w:p>
    <w:p>
      <w:pPr>
        <w:pStyle w:val="ListBullet"/>
        <w:spacing w:after="60" w:before="0"/>
      </w:pPr>
      <w:r>
        <w:rPr>
          <w:rFonts w:ascii="Calibri" w:hAnsi="Calibri"/>
          <w:b/>
          <w:sz w:val="22"/>
        </w:rPr>
        <w:t xml:space="preserve">file_restricted_ratio: </w:t>
      </w:r>
      <w:r>
        <w:rPr>
          <w:rFonts w:ascii="Calibri" w:hAnsi="Calibri"/>
          <w:sz w:val="22"/>
        </w:rPr>
        <w:t>Proportion of accesses to restricted-classified files.</w:t>
      </w:r>
    </w:p>
    <w:p>
      <w:pPr>
        <w:pStyle w:val="ListBullet"/>
        <w:spacing w:after="60" w:before="0"/>
      </w:pPr>
      <w:r>
        <w:rPr>
          <w:rFonts w:ascii="Calibri" w:hAnsi="Calibri"/>
          <w:b/>
          <w:sz w:val="22"/>
        </w:rPr>
        <w:t xml:space="preserve">file_confidential_ratio: </w:t>
      </w:r>
      <w:r>
        <w:rPr>
          <w:rFonts w:ascii="Calibri" w:hAnsi="Calibri"/>
          <w:sz w:val="22"/>
        </w:rPr>
        <w:t>Proportion of accesses to confidential-classified files.</w:t>
      </w:r>
    </w:p>
    <w:p>
      <w:pPr>
        <w:pStyle w:val="ListBullet"/>
        <w:spacing w:after="60" w:before="0"/>
      </w:pPr>
      <w:r>
        <w:rPr>
          <w:rFonts w:ascii="Calibri" w:hAnsi="Calibri"/>
          <w:b/>
          <w:sz w:val="22"/>
        </w:rPr>
        <w:t xml:space="preserve">file_write_ratio: </w:t>
      </w:r>
      <w:r>
        <w:rPr>
          <w:rFonts w:ascii="Calibri" w:hAnsi="Calibri"/>
          <w:sz w:val="22"/>
        </w:rPr>
        <w:t>Proportion of write operations vs. reads.</w:t>
      </w:r>
    </w:p>
    <w:p>
      <w:pPr>
        <w:pStyle w:val="ListBullet"/>
        <w:spacing w:after="60" w:before="0"/>
      </w:pPr>
      <w:r>
        <w:rPr>
          <w:rFonts w:ascii="Calibri" w:hAnsi="Calibri"/>
          <w:b/>
          <w:sz w:val="22"/>
        </w:rPr>
        <w:t xml:space="preserve">file_total_bytes: </w:t>
      </w:r>
      <w:r>
        <w:rPr>
          <w:rFonts w:ascii="Calibri" w:hAnsi="Calibri"/>
          <w:sz w:val="22"/>
        </w:rPr>
        <w:t>Total bytes transferred through file operations.</w:t>
      </w:r>
    </w:p>
    <w:p>
      <w:pPr>
        <w:pStyle w:val="Heading3"/>
        <w:spacing w:before="240" w:after="160"/>
      </w:pPr>
      <w:r>
        <w:rPr>
          <w:rFonts w:ascii="Calibri" w:hAnsi="Calibri"/>
          <w:color w:val="0D1B2A"/>
        </w:rPr>
        <w:t>Endpoint Behavior (5 features)</w:t>
      </w:r>
    </w:p>
    <w:p>
      <w:pPr>
        <w:pStyle w:val="ListBullet"/>
        <w:spacing w:after="60" w:before="0"/>
      </w:pPr>
      <w:r>
        <w:rPr>
          <w:rFonts w:ascii="Calibri" w:hAnsi="Calibri"/>
          <w:b/>
          <w:sz w:val="22"/>
        </w:rPr>
        <w:t xml:space="preserve">endpoint_total: </w:t>
      </w:r>
      <w:r>
        <w:rPr>
          <w:rFonts w:ascii="Calibri" w:hAnsi="Calibri"/>
          <w:sz w:val="22"/>
        </w:rPr>
        <w:t>Total endpoint events (process executions, service starts).</w:t>
      </w:r>
    </w:p>
    <w:p>
      <w:pPr>
        <w:pStyle w:val="ListBullet"/>
        <w:spacing w:after="60" w:before="0"/>
      </w:pPr>
      <w:r>
        <w:rPr>
          <w:rFonts w:ascii="Calibri" w:hAnsi="Calibri"/>
          <w:b/>
          <w:sz w:val="22"/>
        </w:rPr>
        <w:t xml:space="preserve">endpoint_suspicious_ratio: </w:t>
      </w:r>
      <w:r>
        <w:rPr>
          <w:rFonts w:ascii="Calibri" w:hAnsi="Calibri"/>
          <w:sz w:val="22"/>
        </w:rPr>
        <w:t>Proportion of events flagged as suspicious by endpoint detection.</w:t>
      </w:r>
    </w:p>
    <w:p>
      <w:pPr>
        <w:pStyle w:val="ListBullet"/>
        <w:spacing w:after="60" w:before="0"/>
      </w:pPr>
      <w:r>
        <w:rPr>
          <w:rFonts w:ascii="Calibri" w:hAnsi="Calibri"/>
          <w:b/>
          <w:sz w:val="22"/>
        </w:rPr>
        <w:t xml:space="preserve">endpoint_max_risk: </w:t>
      </w:r>
      <w:r>
        <w:rPr>
          <w:rFonts w:ascii="Calibri" w:hAnsi="Calibri"/>
          <w:sz w:val="22"/>
        </w:rPr>
        <w:t>Maximum risk score observed across all endpoint events.</w:t>
      </w:r>
    </w:p>
    <w:p>
      <w:pPr>
        <w:pStyle w:val="ListBullet"/>
        <w:spacing w:after="60" w:before="0"/>
      </w:pPr>
      <w:r>
        <w:rPr>
          <w:rFonts w:ascii="Calibri" w:hAnsi="Calibri"/>
          <w:b/>
          <w:sz w:val="22"/>
        </w:rPr>
        <w:t xml:space="preserve">endpoint_mean_risk: </w:t>
      </w:r>
      <w:r>
        <w:rPr>
          <w:rFonts w:ascii="Calibri" w:hAnsi="Calibri"/>
          <w:sz w:val="22"/>
        </w:rPr>
        <w:t>Average risk score across all endpoint events.</w:t>
      </w:r>
    </w:p>
    <w:p>
      <w:pPr>
        <w:pStyle w:val="ListBullet"/>
        <w:spacing w:after="60" w:before="0"/>
      </w:pPr>
      <w:r>
        <w:rPr>
          <w:rFonts w:ascii="Calibri" w:hAnsi="Calibri"/>
          <w:b/>
          <w:sz w:val="22"/>
        </w:rPr>
        <w:t xml:space="preserve">endpoint_unique_processes: </w:t>
      </w:r>
      <w:r>
        <w:rPr>
          <w:rFonts w:ascii="Calibri" w:hAnsi="Calibri"/>
          <w:sz w:val="22"/>
        </w:rPr>
        <w:t>Count of distinct processes executed.</w:t>
      </w:r>
    </w:p>
    <w:p>
      <w:pPr>
        <w:pStyle w:val="Heading3"/>
        <w:spacing w:before="240" w:after="160"/>
      </w:pPr>
      <w:r>
        <w:rPr>
          <w:rFonts w:ascii="Calibri" w:hAnsi="Calibri"/>
          <w:color w:val="0D1B2A"/>
        </w:rPr>
        <w:t>Network Behavior (3 features)</w:t>
      </w:r>
    </w:p>
    <w:p>
      <w:pPr>
        <w:pStyle w:val="ListBullet"/>
        <w:spacing w:after="60" w:before="0"/>
      </w:pPr>
      <w:r>
        <w:rPr>
          <w:rFonts w:ascii="Calibri" w:hAnsi="Calibri"/>
          <w:b/>
          <w:sz w:val="22"/>
        </w:rPr>
        <w:t xml:space="preserve">net_bytes_out: </w:t>
      </w:r>
      <w:r>
        <w:rPr>
          <w:rFonts w:ascii="Calibri" w:hAnsi="Calibri"/>
          <w:sz w:val="22"/>
        </w:rPr>
        <w:t>Total outbound bytes transferred.</w:t>
      </w:r>
    </w:p>
    <w:p>
      <w:pPr>
        <w:pStyle w:val="ListBullet"/>
        <w:spacing w:after="60" w:before="0"/>
      </w:pPr>
      <w:r>
        <w:rPr>
          <w:rFonts w:ascii="Calibri" w:hAnsi="Calibri"/>
          <w:b/>
          <w:sz w:val="22"/>
        </w:rPr>
        <w:t xml:space="preserve">net_unique_dsts: </w:t>
      </w:r>
      <w:r>
        <w:rPr>
          <w:rFonts w:ascii="Calibri" w:hAnsi="Calibri"/>
          <w:sz w:val="22"/>
        </w:rPr>
        <w:t>Number of unique destination addresses contacted.</w:t>
      </w:r>
    </w:p>
    <w:p>
      <w:pPr>
        <w:pStyle w:val="ListBullet"/>
        <w:spacing w:after="60" w:before="0"/>
      </w:pPr>
      <w:r>
        <w:rPr>
          <w:rFonts w:ascii="Calibri" w:hAnsi="Calibri"/>
          <w:b/>
          <w:sz w:val="22"/>
        </w:rPr>
        <w:t xml:space="preserve">net_external_ratio: </w:t>
      </w:r>
      <w:r>
        <w:rPr>
          <w:rFonts w:ascii="Calibri" w:hAnsi="Calibri"/>
          <w:sz w:val="22"/>
        </w:rPr>
        <w:t>Proportion of connections to external (non-agency) addresses.</w:t>
      </w:r>
    </w:p>
    <w:p>
      <w:pPr>
        <w:pStyle w:val="Heading3"/>
        <w:spacing w:before="240" w:after="160"/>
      </w:pPr>
      <w:r>
        <w:rPr>
          <w:rFonts w:ascii="Calibri" w:hAnsi="Calibri"/>
          <w:color w:val="0D1B2A"/>
        </w:rPr>
        <w:t>DNS Behavior (2 features)</w:t>
      </w:r>
    </w:p>
    <w:p>
      <w:pPr>
        <w:pStyle w:val="ListBullet"/>
        <w:spacing w:after="60" w:before="0"/>
      </w:pPr>
      <w:r>
        <w:rPr>
          <w:rFonts w:ascii="Calibri" w:hAnsi="Calibri"/>
          <w:b/>
          <w:sz w:val="22"/>
        </w:rPr>
        <w:t xml:space="preserve">dns_unique_domains: </w:t>
      </w:r>
      <w:r>
        <w:rPr>
          <w:rFonts w:ascii="Calibri" w:hAnsi="Calibri"/>
          <w:sz w:val="22"/>
        </w:rPr>
        <w:t>Count of unique domains queried.</w:t>
      </w:r>
    </w:p>
    <w:p>
      <w:pPr>
        <w:pStyle w:val="ListBullet"/>
        <w:spacing w:after="60" w:before="0"/>
      </w:pPr>
      <w:r>
        <w:rPr>
          <w:rFonts w:ascii="Calibri" w:hAnsi="Calibri"/>
          <w:b/>
          <w:sz w:val="22"/>
        </w:rPr>
        <w:t xml:space="preserve">dns_nxdomain_ratio: </w:t>
      </w:r>
      <w:r>
        <w:rPr>
          <w:rFonts w:ascii="Calibri" w:hAnsi="Calibri"/>
          <w:sz w:val="22"/>
        </w:rPr>
        <w:t>Proportion of queries resulting in NXDOMAIN (non-existent domain) responses, an indicator of Domain Generation Algorithm (DGA) activity.</w:t>
      </w:r>
    </w:p>
    <w:p>
      <w:pPr>
        <w:pStyle w:val="Heading2"/>
        <w:spacing w:before="240" w:after="160"/>
      </w:pPr>
      <w:r>
        <w:rPr>
          <w:rFonts w:ascii="Calibri" w:hAnsi="Calibri"/>
          <w:color w:val="0D1B2A"/>
        </w:rPr>
        <w:t>Aggregation Strategy</w:t>
      </w:r>
    </w:p>
    <w:p>
      <w:pPr>
        <w:spacing w:after="120" w:before="0" w:line="280" w:lineRule="exact"/>
      </w:pPr>
      <w:r>
        <w:rPr>
          <w:rFonts w:ascii="Calibri" w:hAnsi="Calibri"/>
          <w:b w:val="0"/>
          <w:color w:val="000000"/>
          <w:sz w:val="22"/>
        </w:rPr>
        <w:t>Features were aggregated into per-user weekly vectors, producing a matrix of 50 users by 19 weeks by 23 features (950 feature vectors total). For static anomaly detection algorithms (Isolation Forest, One-Class SVM, LOF, Z-Score), each user's weekly vectors were averaged into a single mean vector, producing one 23-dimensional point per user. For temporal algorithms (Temporal Z-Score, CUSUM), the full time-series of 19 weekly feature vectors was preserved to enable drift analysis over time, using the first 9 weeks as the training period and the remaining 10 weeks as the test period.</w:t>
      </w:r>
    </w:p>
    <w:p>
      <w:pPr>
        <w:spacing w:after="120" w:before="0" w:line="280" w:lineRule="exact"/>
      </w:pPr>
      <w:r>
        <w:rPr>
          <w:rFonts w:ascii="Calibri" w:hAnsi="Calibri"/>
          <w:b w:val="0"/>
          <w:color w:val="000000"/>
          <w:sz w:val="22"/>
        </w:rPr>
        <w:t>All features were z-score normalized using the population mean and standard deviation to ensure comparability across features with different scales. This normalization was computed on the full dataset, which represents a best-case scenario for the traditional algorithms: they have full knowledge of the population distribution.</w:t>
      </w:r>
    </w:p>
    <w:p>
      <w:r>
        <w:br w:type="page"/>
      </w:r>
    </w:p>
    <w:p>
      <w:pPr>
        <w:pStyle w:val="Heading1"/>
        <w:spacing w:before="360" w:after="160"/>
      </w:pPr>
      <w:r>
        <w:rPr>
          <w:rFonts w:ascii="Calibri" w:hAnsi="Calibri"/>
          <w:color w:val="0D1B2A"/>
        </w:rPr>
        <w:t>4. Traditional Anomaly Detection Algorithms</w:t>
      </w:r>
    </w:p>
    <w:p>
      <w:pPr>
        <w:spacing w:after="120" w:before="0" w:line="280" w:lineRule="exact"/>
      </w:pPr>
      <w:r>
        <w:rPr>
          <w:rFonts w:ascii="Calibri" w:hAnsi="Calibri"/>
          <w:b w:val="0"/>
          <w:color w:val="000000"/>
          <w:sz w:val="22"/>
        </w:rPr>
        <w:t>We evaluated four widely-deployed anomaly detection algorithms that represent the state of practice in commercial UEBA and SIEM products. Each algorithm was configured with standard parameters and applied to the mean feature vectors of all 50 users.</w:t>
      </w:r>
    </w:p>
    <w:p>
      <w:pPr>
        <w:pStyle w:val="Heading2"/>
        <w:spacing w:before="240" w:after="160"/>
      </w:pPr>
      <w:r>
        <w:rPr>
          <w:rFonts w:ascii="Calibri" w:hAnsi="Calibri"/>
          <w:color w:val="0D1B2A"/>
        </w:rPr>
        <w:t>Isolation Forest</w:t>
      </w:r>
    </w:p>
    <w:p>
      <w:pPr>
        <w:spacing w:after="120" w:before="0" w:line="280" w:lineRule="exact"/>
      </w:pPr>
      <w:r>
        <w:rPr>
          <w:rFonts w:ascii="Calibri" w:hAnsi="Calibri"/>
          <w:b w:val="0"/>
          <w:color w:val="000000"/>
          <w:sz w:val="22"/>
        </w:rPr>
        <w:t>Isolation Forest constructs an ensemble of random decision trees that recursively partition the feature space. Anomalies are identified as points that require fewer partitions to isolate, producing shorter average path lengths. The algorithm is widely regarded as one of the most effective general-purpose anomaly detectors for tabular data.</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contamination=0.05, n_estimators=100, random_state=42</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MISSED USR-234 (Slow APT). DETECTED USR-042 (Volt Typhoon). DETECTED USR-118 (Salt Typhoon). 2 true positives, 1 false positive (2.2% FP rate).</w:t>
      </w:r>
    </w:p>
    <w:p>
      <w:pPr>
        <w:spacing w:after="120" w:before="0" w:line="280" w:lineRule="exact"/>
      </w:pPr>
      <w:r>
        <w:rPr>
          <w:rFonts w:ascii="Calibri" w:hAnsi="Calibri"/>
          <w:b w:val="0"/>
          <w:color w:val="000000"/>
          <w:sz w:val="22"/>
        </w:rPr>
        <w:t>Isolation Forest detected the two nation-state campaigns (USR-042 Volt Typhoon, USR-118 Salt Typhoon) whose network and endpoint footprints create feature-space outliers—elevated dns_unique_domains, NXDOMAIN ratios, and net_external_ratio push these users' mean vectors away from the normal population cluster. However, USR-156's insider threat and USR-234's slow APT were both invisible. The insider threat changes WHAT the user accesses, not HOW MUCH, and the slow APT's 4-beacon-per-day C2 pattern is too subtle to create isolation boundaries. The algorithm sees both as normal because no individual feature exceeds the isolation boundary.</w:t>
      </w:r>
    </w:p>
    <w:p>
      <w:pPr>
        <w:pStyle w:val="Heading2"/>
        <w:spacing w:before="240" w:after="160"/>
      </w:pPr>
      <w:r>
        <w:rPr>
          <w:rFonts w:ascii="Calibri" w:hAnsi="Calibri"/>
          <w:color w:val="0D1B2A"/>
        </w:rPr>
        <w:t>One-Class SVM</w:t>
      </w:r>
    </w:p>
    <w:p>
      <w:pPr>
        <w:spacing w:after="120" w:before="0" w:line="280" w:lineRule="exact"/>
      </w:pPr>
      <w:r>
        <w:rPr>
          <w:rFonts w:ascii="Calibri" w:hAnsi="Calibri"/>
          <w:b w:val="0"/>
          <w:color w:val="000000"/>
          <w:sz w:val="22"/>
        </w:rPr>
        <w:t>One-Class SVM learns a decision boundary around the training data in a high-dimensional kernel space, classifying points that fall outside this boundary as anomalous. It uses a radial basis function (RBF) kernel to capture non-linear relationships between features.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nu=0.05, kernel='rbf', gamma='scale'</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USR-156 (Insider Threat). MISSED USR-234 (Slow APT). MISSED USR-042 (Volt Typhoon). DETECTED USR-118 (Salt Typhoon). 2 true positives, </w:t>
      </w:r>
      <w:r>
        <w:rPr>
          <w:rFonts w:ascii="Calibri" w:hAnsi="Calibri"/>
          <w:b/>
          <w:color w:val="000000"/>
          <w:sz w:val="22"/>
        </w:rPr>
        <w:t>9 false positives (19.6% FP rate).</w:t>
      </w:r>
    </w:p>
    <w:p>
      <w:pPr>
        <w:spacing w:after="120" w:before="0" w:line="280" w:lineRule="exact"/>
      </w:pPr>
      <w:r>
        <w:rPr>
          <w:rFonts w:ascii="Calibri" w:hAnsi="Calibri"/>
          <w:b w:val="0"/>
          <w:color w:val="000000"/>
          <w:sz w:val="22"/>
        </w:rPr>
        <w:t>One-Class SVM detected USR-156 and USR-118 but at the cost of flagging nearly a fifth of all normal users as anomalous. A SOC receiving anomaly alerts for 9 out of 46 normal users would quickly experience alert fatigue. The algorithm missed USR-234's slow APT and USR-042's Volt Typhoon LOTL campaign—both operate too subtly to violate the RBF kernel decision boundary. That OC-SVM catches the insider while other traditional methods miss it is notable, but the 19.6% FP rate makes it operationally impractical as a standalone detector.</w:t>
      </w:r>
    </w:p>
    <w:p>
      <w:pPr>
        <w:pStyle w:val="Heading2"/>
        <w:spacing w:before="240" w:after="160"/>
      </w:pPr>
      <w:r>
        <w:rPr>
          <w:rFonts w:ascii="Calibri" w:hAnsi="Calibri"/>
          <w:color w:val="0D1B2A"/>
        </w:rPr>
        <w:t>Local Outlier Factor (LOF)</w:t>
      </w:r>
    </w:p>
    <w:p>
      <w:pPr>
        <w:spacing w:after="120" w:before="0" w:line="280" w:lineRule="exact"/>
      </w:pPr>
      <w:r>
        <w:rPr>
          <w:rFonts w:ascii="Calibri" w:hAnsi="Calibri"/>
          <w:b w:val="0"/>
          <w:color w:val="000000"/>
          <w:sz w:val="22"/>
        </w:rPr>
        <w:t>Local Outlier Factor measures the local density of each point relative to its k-nearest neighbors. Points in regions of significantly lower density than their neighbors receive high LOF scores and are classified as outliers. LOF is particularly effective for datasets with clusters of varying density.</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n_neighbors=20, contamination=0.05</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MISSED USR-156 (Insider Threat). DETECTED USR-234 (Slow APT). DETECTED USR-042 (Volt Typhoon). DETECTED USR-118 (Salt Typhoon). 3 true positives, </w:t>
      </w:r>
      <w:r>
        <w:rPr>
          <w:rFonts w:ascii="Calibri" w:hAnsi="Calibri"/>
          <w:b/>
          <w:color w:val="000000"/>
          <w:sz w:val="22"/>
        </w:rPr>
        <w:t>0 false positives (0.0% FP rate).</w:t>
      </w:r>
    </w:p>
    <w:p>
      <w:pPr>
        <w:spacing w:after="120" w:before="0" w:line="280" w:lineRule="exact"/>
      </w:pPr>
      <w:r>
        <w:rPr>
          <w:rFonts w:ascii="Calibri" w:hAnsi="Calibri"/>
          <w:b w:val="0"/>
          <w:color w:val="000000"/>
          <w:sz w:val="22"/>
        </w:rPr>
        <w:t>LOF is the best-performing traditional method: it detects 3 of 4 attacks with zero false positives. LOF's local neighborhood density approach identifies USR-234, USR-042, and USR-118 because their network and endpoint signatures place them in low-density feature regions relative to their neighbors. However, USR-156's insider threat remains completely invisible. The insider's mean-aggregated feature vector resides in the same density region as normal users because the behavioral changes are compositional (WHAT they access), not volumetric (HOW MUCH). LOF's 0% FP rate makes it an ideal base for an ensemble approach—it contributes 3 detections with no false positive cost.</w:t>
      </w:r>
    </w:p>
    <w:p>
      <w:pPr>
        <w:pStyle w:val="Heading2"/>
        <w:spacing w:before="240" w:after="160"/>
      </w:pPr>
      <w:r>
        <w:rPr>
          <w:rFonts w:ascii="Calibri" w:hAnsi="Calibri"/>
          <w:color w:val="0D1B2A"/>
        </w:rPr>
        <w:t>Statistical Z-Score</w:t>
      </w:r>
    </w:p>
    <w:p>
      <w:pPr>
        <w:spacing w:after="120" w:before="0" w:line="280" w:lineRule="exact"/>
      </w:pPr>
      <w:r>
        <w:rPr>
          <w:rFonts w:ascii="Calibri" w:hAnsi="Calibri"/>
          <w:b w:val="0"/>
          <w:color w:val="000000"/>
          <w:sz w:val="22"/>
        </w:rPr>
        <w:t>Z-Score analysis identifies anomalies by computing how many standard deviations each user's feature values lie from the population mean. A user is flagged if any of their 23 features exceeds a threshold of 3 standard deviations. This represents the simplest statistical approach and is the foundation of many SIEM alert rules.</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threshold = 3.0 (|z| &gt; 3)</w:t>
      </w:r>
    </w:p>
    <w:p>
      <w:pPr>
        <w:spacing w:after="120" w:before="0" w:line="280" w:lineRule="exact"/>
      </w:pPr>
      <w:r>
        <w:rPr>
          <w:rFonts w:ascii="Calibri" w:hAnsi="Calibri"/>
          <w:b/>
          <w:color w:val="000000"/>
          <w:sz w:val="22"/>
        </w:rPr>
        <w:t xml:space="preserve">Results: </w:t>
      </w:r>
      <w:r>
        <w:rPr>
          <w:rFonts w:ascii="Calibri" w:hAnsi="Calibri"/>
          <w:b w:val="0"/>
          <w:color w:val="000000"/>
          <w:sz w:val="22"/>
        </w:rPr>
        <w:t>MISSED USR-156 (Insider Threat). DETECTED USR-234 (Slow APT). DETECTED USR-042 (Volt Typhoon). DETECTED USR-118 (Salt Typhoon). 3 true positives, 1 false positive (2.2% FP rate).</w:t>
      </w:r>
    </w:p>
    <w:p>
      <w:pPr>
        <w:spacing w:after="120" w:before="0" w:line="280" w:lineRule="exact"/>
      </w:pPr>
      <w:r>
        <w:rPr>
          <w:rFonts w:ascii="Calibri" w:hAnsi="Calibri"/>
          <w:b w:val="0"/>
          <w:color w:val="000000"/>
          <w:sz w:val="22"/>
        </w:rPr>
        <w:t>Z-Score analysis detected USR-234, USR-042, and USR-118 because their network metrics (dns_unique_domains, NXDOMAIN ratio, external connection ratio) exceed the 3-sigma threshold—C2 beaconing and lateral movement generate statistically significant outliers. However, USR-156 never exceeds any threshold on any feature. The insider threat's behavioral changes are distributed across the composition of their activity, not concentrated in any single metric. Z-Score exemplifies the structural limitation: it can detect volume-based anomalies but is blind to behavioral-direction attacks.</w:t>
      </w:r>
    </w:p>
    <w:p>
      <w:r>
        <w:br w:type="page"/>
      </w:r>
    </w:p>
    <w:p>
      <w:pPr>
        <w:pStyle w:val="Heading1"/>
        <w:spacing w:before="360" w:after="160"/>
      </w:pPr>
      <w:r>
        <w:rPr>
          <w:rFonts w:ascii="Calibri" w:hAnsi="Calibri"/>
          <w:color w:val="0D1B2A"/>
        </w:rPr>
        <w:t>5. Temporal Detection Approaches</w:t>
      </w:r>
    </w:p>
    <w:p>
      <w:pPr>
        <w:spacing w:after="120" w:before="0" w:line="280" w:lineRule="exact"/>
      </w:pPr>
      <w:r>
        <w:rPr>
          <w:rFonts w:ascii="Calibri" w:hAnsi="Calibri"/>
          <w:b w:val="0"/>
          <w:color w:val="000000"/>
          <w:sz w:val="22"/>
        </w:rPr>
        <w:t>Recognizing that static approaches collapse time-series information, we evaluated two temporal algorithms that preserve the sequential nature of behavioral data. These approaches analyze how each user's behavior changes over time rather than comparing static snapshots.</w:t>
      </w:r>
    </w:p>
    <w:p>
      <w:pPr>
        <w:pStyle w:val="Heading2"/>
        <w:spacing w:before="240" w:after="160"/>
      </w:pPr>
      <w:r>
        <w:rPr>
          <w:rFonts w:ascii="Calibri" w:hAnsi="Calibri"/>
          <w:color w:val="0D1B2A"/>
        </w:rPr>
        <w:t>Temporal Z-Score</w:t>
      </w:r>
    </w:p>
    <w:p>
      <w:pPr>
        <w:spacing w:after="120" w:before="0" w:line="280" w:lineRule="exact"/>
      </w:pPr>
      <w:r>
        <w:rPr>
          <w:rFonts w:ascii="Calibri" w:hAnsi="Calibri"/>
          <w:b w:val="0"/>
          <w:color w:val="000000"/>
          <w:sz w:val="22"/>
        </w:rPr>
        <w:t>Temporal Z-Score establishes a per-user behavioral baseline from a training period and then measures deviation from that baseline in subsequent weeks. We used the first 9 weeks as the training period and the remaining 10 weeks as the test period. A user is flagged if any feature in any test week exceeds 3 standard deviations from their training-period mean.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Training period = weeks 1-9, Test period = weeks 10-19, threshold = 3.0</w:t>
      </w:r>
    </w:p>
    <w:p>
      <w:pPr>
        <w:spacing w:after="120" w:before="0" w:line="280" w:lineRule="exact"/>
      </w:pPr>
      <w:r>
        <w:rPr>
          <w:rFonts w:ascii="Calibri" w:hAnsi="Calibri"/>
          <w:b/>
          <w:color w:val="000000"/>
          <w:sz w:val="22"/>
        </w:rPr>
        <w:t xml:space="preserve">Results: </w:t>
      </w:r>
      <w:r>
        <w:rPr>
          <w:rFonts w:ascii="Calibri" w:hAnsi="Calibri"/>
          <w:b w:val="0"/>
          <w:color w:val="000000"/>
          <w:sz w:val="22"/>
        </w:rPr>
        <w:t xml:space="preserve">DETECTED all 4 attack users (USR-156, USR-234, USR-042, USR-118). Generated </w:t>
      </w:r>
      <w:r>
        <w:rPr>
          <w:rFonts w:ascii="Calibri" w:hAnsi="Calibri"/>
          <w:b/>
          <w:color w:val="000000"/>
          <w:sz w:val="22"/>
        </w:rPr>
        <w:t>46 false positives (100.0% FP rate).</w:t>
      </w:r>
    </w:p>
    <w:p>
      <w:pPr>
        <w:spacing w:after="120" w:before="0" w:line="280" w:lineRule="exact"/>
      </w:pPr>
      <w:r>
        <w:rPr>
          <w:rFonts w:ascii="Calibri" w:hAnsi="Calibri"/>
          <w:b w:val="0"/>
          <w:color w:val="000000"/>
          <w:sz w:val="22"/>
        </w:rPr>
        <w:t>Temporal Z-Score successfully detected all four attacks but at the catastrophic cost of flagging every single normal user in the dataset as anomalous. This occurs because normal user behavior naturally drifts over a 10-week test period. Job role changes, project reassignments, seasonal workload variation, and simple behavioral evolution cause normal users to deviate from a fixed 9-week baseline. The algorithm cannot distinguish meaningful threat-related drift from benign behavioral evolution.</w:t>
      </w:r>
    </w:p>
    <w:p>
      <w:pPr>
        <w:spacing w:after="120" w:before="0" w:line="280" w:lineRule="exact"/>
      </w:pPr>
      <w:r>
        <w:rPr>
          <w:rFonts w:ascii="Calibri" w:hAnsi="Calibri"/>
          <w:b w:val="0"/>
          <w:color w:val="000000"/>
          <w:sz w:val="22"/>
        </w:rPr>
        <w:t>An algorithm that flags 100% of users as anomalous provides zero operational value. It is equivalent to having no detection system at all.</w:t>
      </w:r>
    </w:p>
    <w:p>
      <w:pPr>
        <w:pStyle w:val="Heading2"/>
        <w:spacing w:before="240" w:after="160"/>
      </w:pPr>
      <w:r>
        <w:rPr>
          <w:rFonts w:ascii="Calibri" w:hAnsi="Calibri"/>
          <w:color w:val="0D1B2A"/>
        </w:rPr>
        <w:t>Feature Trajectory CUSUM</w:t>
      </w:r>
    </w:p>
    <w:p>
      <w:pPr>
        <w:spacing w:after="120" w:before="0" w:line="280" w:lineRule="exact"/>
      </w:pPr>
      <w:r>
        <w:rPr>
          <w:rFonts w:ascii="Calibri" w:hAnsi="Calibri"/>
          <w:b w:val="0"/>
          <w:color w:val="000000"/>
          <w:sz w:val="22"/>
        </w:rPr>
        <w:t>Cumulative Sum (CUSUM) control charts are a statistical process control method that detects persistent shifts in the mean of a time series. We computed a composite weekly drift metric from the 23-feature vectors and applied CUSUM to detect change points in each user's behavioral trajectory. Unlike Z-Score approaches that flag instantaneous deviations, CUSUM accumulates small, persistent shifts over time—making it theoretically well-suited for slow attack detection.</w:t>
      </w:r>
    </w:p>
    <w:p>
      <w:pPr>
        <w:spacing w:after="120" w:before="0" w:line="280" w:lineRule="exact"/>
      </w:pPr>
      <w:r>
        <w:rPr>
          <w:rFonts w:ascii="Calibri" w:hAnsi="Calibri"/>
          <w:b/>
          <w:color w:val="000000"/>
          <w:sz w:val="22"/>
        </w:rPr>
        <w:t xml:space="preserve">Configuration: </w:t>
      </w:r>
      <w:r>
        <w:rPr>
          <w:rFonts w:ascii="Calibri" w:hAnsi="Calibri"/>
          <w:b w:val="0"/>
          <w:color w:val="000000"/>
          <w:sz w:val="22"/>
        </w:rPr>
        <w:t>CUSUM on per-user composite weekly drift metric, threshold calibrated against population distribution</w:t>
      </w:r>
    </w:p>
    <w:p>
      <w:pPr>
        <w:spacing w:after="120" w:before="0" w:line="280" w:lineRule="exact"/>
      </w:pPr>
      <w:r>
        <w:rPr>
          <w:rFonts w:ascii="Calibri" w:hAnsi="Calibri"/>
          <w:b/>
          <w:color w:val="000000"/>
          <w:sz w:val="22"/>
        </w:rPr>
        <w:t xml:space="preserve">Results (Top 10% threshold): </w:t>
      </w:r>
      <w:r>
        <w:rPr>
          <w:rFonts w:ascii="Calibri" w:hAnsi="Calibri"/>
          <w:b w:val="0"/>
          <w:color w:val="000000"/>
          <w:sz w:val="22"/>
        </w:rPr>
        <w:t>MISSED USR-156 (Insider Threat). MISSED USR-234 (Slow APT). DETECTED USR-042 (Volt Typhoon). DETECTED USR-118 (Salt Typhoon). 2 true positives, 3 false positives (6.5% FP rate).</w:t>
      </w:r>
    </w:p>
    <w:p>
      <w:pPr>
        <w:spacing w:after="120" w:before="0" w:line="280" w:lineRule="exact"/>
      </w:pPr>
      <w:r>
        <w:rPr>
          <w:rFonts w:ascii="Calibri" w:hAnsi="Calibri"/>
          <w:b w:val="0"/>
          <w:color w:val="000000"/>
          <w:sz w:val="22"/>
        </w:rPr>
        <w:t>Feature CUSUM detected the two nation-state campaigns whose cumulative drift exceeded the top-10% threshold, but missed the insider threat and slow APT—both drift too gradually for their CUSUM values to reach the top decile. While CUSUM correctly accumulates small persistent shifts, it cannot distinguish attack-related drift from normal behavioral evolution without additional context about which behavioral dimensions are changing.</w:t>
      </w:r>
    </w:p>
    <w:p>
      <w:pPr>
        <w:spacing w:after="120" w:before="0" w:line="280" w:lineRule="exact"/>
      </w:pPr>
      <w:r>
        <w:rPr>
          <w:rFonts w:ascii="Calibri" w:hAnsi="Calibri"/>
          <w:b w:val="0"/>
          <w:color w:val="000000"/>
          <w:sz w:val="22"/>
        </w:rPr>
        <w:t>The core limitation is that Feature CUSUM detects behavioral change but cannot distinguish the direction of that change. A user who gets promoted and legitimately accesses more systems looks identical to a user who is conducting reconnaissance. The algorithm knows that something changed, but not what changed or whether the change constitutes a threat.</w:t>
      </w:r>
    </w:p>
    <w:p>
      <w:r>
        <w:br w:type="page"/>
      </w:r>
    </w:p>
    <w:p>
      <w:pPr>
        <w:pStyle w:val="Heading1"/>
        <w:spacing w:before="360" w:after="160"/>
      </w:pPr>
      <w:r>
        <w:rPr>
          <w:rFonts w:ascii="Calibri" w:hAnsi="Calibri"/>
          <w:color w:val="0D1B2A"/>
        </w:rPr>
        <w:t>6. ACECARD Behavioral Drift Approach</w:t>
      </w:r>
    </w:p>
    <w:p>
      <w:pPr>
        <w:spacing w:after="120" w:before="0" w:line="280" w:lineRule="exact"/>
      </w:pPr>
      <w:r>
        <w:rPr>
          <w:rFonts w:ascii="Calibri" w:hAnsi="Calibri"/>
          <w:b w:val="0"/>
          <w:color w:val="000000"/>
          <w:sz w:val="22"/>
        </w:rPr>
        <w:t>ACECARD (Adaptive Cyber Entity Anomaly Recognition through Compositional Analysis and Recursive Detection) takes a fundamentally different approach to behavioral anomaly detection. Rather than treating behavioral metrics as numerical features for statistical analysis, ACECARD converts behavioral data into semantic representations that capture the meaning of behavior, not just its magnitude.</w:t>
      </w:r>
    </w:p>
    <w:p>
      <w:pPr>
        <w:pStyle w:val="Heading2"/>
        <w:spacing w:before="240" w:after="160"/>
      </w:pPr>
      <w:r>
        <w:rPr>
          <w:rFonts w:ascii="Calibri" w:hAnsi="Calibri"/>
          <w:color w:val="0D1B2A"/>
        </w:rPr>
        <w:t>Text Serialization of Behavioral Metrics</w:t>
      </w:r>
    </w:p>
    <w:p>
      <w:pPr>
        <w:spacing w:after="120" w:before="0" w:line="280" w:lineRule="exact"/>
      </w:pPr>
      <w:r>
        <w:rPr>
          <w:rFonts w:ascii="Calibri" w:hAnsi="Calibri"/>
          <w:b w:val="0"/>
          <w:color w:val="000000"/>
          <w:sz w:val="22"/>
        </w:rPr>
        <w:t>Raw behavioral metrics—authentication counts, file access patterns, network traffic volumes—are first transformed into natural language descriptions of the user's behavior. This text serialization step translates numerical features into prose that describes what the user is doing in human-interpretable terms. For example, rather than encoding a user as a vector [47, 3, 0.064, ...], ACECARD generates a description like: 'This user authenticated 47 times with 3 failures (6.4% fail rate), accessed 12 unique file paths including 2 restricted files...'</w:t>
      </w:r>
    </w:p>
    <w:p>
      <w:pPr>
        <w:spacing w:after="120" w:before="0" w:line="280" w:lineRule="exact"/>
      </w:pPr>
      <w:r>
        <w:rPr>
          <w:rFonts w:ascii="Calibri" w:hAnsi="Calibri"/>
          <w:b w:val="0"/>
          <w:color w:val="000000"/>
          <w:sz w:val="22"/>
        </w:rPr>
        <w:t>This serialization is not merely cosmetic. It enables the next step—embedding in a semantic vector space—to capture relationships between behavioral elements that numerical features cannot represent. The semantic distance between 'accessing personnel files' and 'accessing engineering documents' is meaningful in a way that the numerical difference between file path counts is not.</w:t>
      </w:r>
    </w:p>
    <w:p>
      <w:pPr>
        <w:pStyle w:val="Heading2"/>
        <w:spacing w:before="240" w:after="160"/>
      </w:pPr>
      <w:r>
        <w:rPr>
          <w:rFonts w:ascii="Calibri" w:hAnsi="Calibri"/>
          <w:color w:val="0D1B2A"/>
        </w:rPr>
        <w:t>Embedding in Semantic Vector Space</w:t>
      </w:r>
    </w:p>
    <w:p>
      <w:pPr>
        <w:spacing w:after="120" w:before="0" w:line="280" w:lineRule="exact"/>
      </w:pPr>
      <w:r>
        <w:rPr>
          <w:rFonts w:ascii="Calibri" w:hAnsi="Calibri"/>
          <w:b w:val="0"/>
          <w:color w:val="000000"/>
          <w:sz w:val="22"/>
        </w:rPr>
        <w:t>The text descriptions are converted into high-dimensional vector representations using advanced language models. These vectors exist in a semantic space where proximity reflects behavioral similarity. Two users engaged in similar activities will have vectors that are close together, while a user whose behavior shifts toward threat-associated patterns will drift in the direction of threat concepts in this space.</w:t>
      </w:r>
    </w:p>
    <w:p>
      <w:pPr>
        <w:spacing w:after="120" w:before="0" w:line="280" w:lineRule="exact"/>
      </w:pPr>
      <w:r>
        <w:rPr>
          <w:rFonts w:ascii="Calibri" w:hAnsi="Calibri"/>
          <w:b w:val="0"/>
          <w:color w:val="000000"/>
          <w:sz w:val="22"/>
        </w:rPr>
        <w:t>This is the critical innovation: in feature space, a user who increases file access from 50 to 55 files per week looks the same regardless of whether those additional files are public documentation or classified intelligence reports. In semantic space, these two scenarios produce distinctly different vector movements because the meaning of the access—not just its volume—is encoded.</w:t>
      </w:r>
    </w:p>
    <w:p>
      <w:pPr>
        <w:pStyle w:val="Heading2"/>
        <w:spacing w:before="240" w:after="160"/>
      </w:pPr>
      <w:r>
        <w:rPr>
          <w:rFonts w:ascii="Calibri" w:hAnsi="Calibri"/>
          <w:color w:val="0D1B2A"/>
        </w:rPr>
        <w:t>Composite Behavioral Vectors</w:t>
      </w:r>
    </w:p>
    <w:p>
      <w:pPr>
        <w:spacing w:after="120" w:before="0" w:line="280" w:lineRule="exact"/>
      </w:pPr>
      <w:r>
        <w:rPr>
          <w:rFonts w:ascii="Calibri" w:hAnsi="Calibri"/>
          <w:b w:val="0"/>
          <w:color w:val="000000"/>
          <w:sz w:val="22"/>
        </w:rPr>
        <w:t>ACECARD constructs composite behavioral vectors from multiple signal types, including authentication patterns, resource access behaviors, network activity, endpoint telemetry, and temporal patterns. These signals are composed through weighted aggregation into a single behavioral vector per entity per time window. The composition preserves cross-signal correlations that individual features miss: a user who increases off-hours authentication AND restricted file access AND external network connections exhibits a pattern that is more concerning than any individual signal change.</w:t>
      </w:r>
    </w:p>
    <w:p>
      <w:pPr>
        <w:pStyle w:val="Heading2"/>
        <w:spacing w:before="240" w:after="160"/>
      </w:pPr>
      <w:r>
        <w:rPr>
          <w:rFonts w:ascii="Calibri" w:hAnsi="Calibri"/>
          <w:color w:val="0D1B2A"/>
        </w:rPr>
        <w:t>CUSUM Change-Point Detection on Drift Trajectory</w:t>
      </w:r>
    </w:p>
    <w:p>
      <w:pPr>
        <w:spacing w:after="120" w:before="0" w:line="280" w:lineRule="exact"/>
      </w:pPr>
      <w:r>
        <w:rPr>
          <w:rFonts w:ascii="Calibri" w:hAnsi="Calibri"/>
          <w:b w:val="0"/>
          <w:color w:val="000000"/>
          <w:sz w:val="22"/>
        </w:rPr>
        <w:t>ACECARD applies change-point detection to the trajectory of behavioral drift in semantic space. Rather than asking 'is this user anomalous right now?', ACECARD asks 'has this user's behavioral trajectory changed direction in a meaningful way?' The CUSUM statistic accumulates persistent directional shifts, enabling detection of slow attacks that never produce a single anomalous data point.</w:t>
      </w:r>
    </w:p>
    <w:p>
      <w:pPr>
        <w:spacing w:after="120" w:before="0" w:line="280" w:lineRule="exact"/>
      </w:pPr>
      <w:r>
        <w:rPr>
          <w:rFonts w:ascii="Calibri" w:hAnsi="Calibri"/>
          <w:b/>
          <w:color w:val="000000"/>
          <w:sz w:val="22"/>
        </w:rPr>
        <w:t xml:space="preserve">Key results from drift direction analysis: </w:t>
      </w:r>
      <w:r>
        <w:rPr>
          <w:rFonts w:ascii="Calibri" w:hAnsi="Calibri"/>
          <w:b w:val="0"/>
          <w:color w:val="000000"/>
          <w:sz w:val="22"/>
        </w:rPr>
        <w:t>USR-156 (insider threat) showed 53.3% threat-consistent drift direction across analysis windows—meaning over half of all weekly behavioral shifts aligned more strongly with threat concepts (insider threat, data exfiltration, reconnaissance) than with benign concepts. Normal users averaged below 40% threat consistency. This directional signal is invisible to magnitude-based methods because the insider maintains normal activity volumes while changing behavioral composition.</w:t>
      </w:r>
    </w:p>
    <w:p>
      <w:pPr>
        <w:pStyle w:val="Heading2"/>
        <w:spacing w:before="240" w:after="160"/>
      </w:pPr>
      <w:r>
        <w:rPr>
          <w:rFonts w:ascii="Calibri" w:hAnsi="Calibri"/>
          <w:color w:val="0D1B2A"/>
        </w:rPr>
        <w:t>Reference Concept Alignment for Threat Classification</w:t>
      </w:r>
    </w:p>
    <w:p>
      <w:pPr>
        <w:spacing w:after="120" w:before="0" w:line="280" w:lineRule="exact"/>
      </w:pPr>
      <w:r>
        <w:rPr>
          <w:rFonts w:ascii="Calibri" w:hAnsi="Calibri"/>
          <w:b w:val="0"/>
          <w:color w:val="000000"/>
          <w:sz w:val="22"/>
        </w:rPr>
        <w:t>Beyond detecting that drift has occurred, ACECARD classifies the nature of the drift by measuring alignment between the user's behavioral vector and reference concept vectors representing known threat patterns. These reference concepts include behavioral descriptions of insider threats, data exfiltration, lateral movement, credential abuse, and other TTPs mapped to the MITRE ATT&amp;CK framework.</w:t>
      </w:r>
    </w:p>
    <w:p>
      <w:pPr>
        <w:spacing w:after="120" w:before="0" w:line="280" w:lineRule="exact"/>
      </w:pPr>
      <w:r>
        <w:rPr>
          <w:rFonts w:ascii="Calibri" w:hAnsi="Calibri"/>
          <w:b w:val="0"/>
          <w:color w:val="000000"/>
          <w:sz w:val="22"/>
        </w:rPr>
        <w:t>This alignment capability is what enables ACECARD to achieve low false positive rates. A user who drifts toward 'expanded legitimate project scope' is distinguished from a user who drifts toward 'systematic reconnaissance and staging.' Both represent behavioral change; only one represents a threat.</w:t>
      </w:r>
    </w:p>
    <w:p>
      <w:pPr>
        <w:pStyle w:val="Heading2"/>
        <w:spacing w:before="240" w:after="160"/>
      </w:pPr>
      <w:r>
        <w:rPr>
          <w:rFonts w:ascii="Calibri" w:hAnsi="Calibri"/>
          <w:color w:val="0D1B2A"/>
        </w:rPr>
        <w:t>Real Embedding Results</w:t>
      </w:r>
    </w:p>
    <w:p>
      <w:pPr>
        <w:spacing w:after="120" w:before="0" w:line="280" w:lineRule="exact"/>
      </w:pPr>
      <w:r>
        <w:rPr>
          <w:rFonts w:ascii="Calibri" w:hAnsi="Calibri"/>
          <w:b w:val="0"/>
          <w:color w:val="000000"/>
          <w:sz w:val="22"/>
        </w:rPr>
        <w:t>All results in this report were produced using real semantic embeddings. Each user's weekly behavioral profile was converted to prose descriptions, embedded into semantic vector space, and composed into multi-signal behavioral vectors. Drift direction was computed by projecting behavioral change vectors onto 12 reference concept vectors representing known threat patterns and benign changes. The threat consistency metric—the fraction of analysis windows where drift aligns more with threat concepts than benign concepts—provides the discrimination that separates insiders from normal users.</w:t>
      </w:r>
    </w:p>
    <w:p>
      <w:r>
        <w:br w:type="page"/>
      </w:r>
    </w:p>
    <w:p>
      <w:pPr>
        <w:pStyle w:val="Heading1"/>
        <w:spacing w:before="360" w:after="160"/>
      </w:pPr>
      <w:r>
        <w:rPr>
          <w:rFonts w:ascii="Calibri" w:hAnsi="Calibri"/>
          <w:color w:val="0D1B2A"/>
        </w:rPr>
        <w:t>7. Comparative Results Analysis</w:t>
      </w:r>
    </w:p>
    <w:p>
      <w:pPr>
        <w:spacing w:after="120" w:before="0" w:line="280" w:lineRule="exact"/>
      </w:pPr>
      <w:r>
        <w:rPr>
          <w:rFonts w:ascii="Calibri" w:hAnsi="Calibri"/>
          <w:b w:val="0"/>
          <w:color w:val="000000"/>
          <w:sz w:val="22"/>
        </w:rPr>
        <w:t>The following table summarizes the detection results across three tiers of detection for all four attack campaigns. False positive counts and rates are computed against the 46 normal users.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560"/>
        <w:gridCol w:w="1560"/>
        <w:gridCol w:w="1560"/>
        <w:gridCol w:w="1560"/>
        <w:gridCol w:w="1560"/>
        <w:gridCol w:w="1560"/>
      </w:tblGrid>
      <w:tr>
        <w:tc>
          <w:tcPr>
            <w:tcW w:type="dxa" w:w="2592"/>
            <w:shd w:fill="0D1B2A" w:val="clear"/>
          </w:tcPr>
          <w:p>
            <w:pPr>
              <w:jc w:val="center"/>
            </w:pPr>
            <w:r/>
            <w:r>
              <w:rPr>
                <w:rFonts w:ascii="Calibri" w:hAnsi="Calibri"/>
                <w:b/>
                <w:color w:val="FFFFFF"/>
                <w:sz w:val="20"/>
              </w:rPr>
              <w:t>Detection Method</w:t>
            </w:r>
          </w:p>
        </w:tc>
        <w:tc>
          <w:tcPr>
            <w:tcW w:type="dxa" w:w="1152"/>
            <w:shd w:fill="0D1B2A" w:val="clear"/>
          </w:tcPr>
          <w:p>
            <w:pPr>
              <w:jc w:val="center"/>
            </w:pPr>
            <w:r/>
            <w:r>
              <w:rPr>
                <w:rFonts w:ascii="Calibri" w:hAnsi="Calibri"/>
                <w:b/>
                <w:color w:val="FFFFFF"/>
                <w:sz w:val="20"/>
              </w:rPr>
              <w:t>USR-156</w:t>
              <w:br/>
              <w:t>Insider</w:t>
            </w:r>
          </w:p>
        </w:tc>
        <w:tc>
          <w:tcPr>
            <w:tcW w:type="dxa" w:w="1152"/>
            <w:shd w:fill="0D1B2A" w:val="clear"/>
          </w:tcPr>
          <w:p>
            <w:pPr>
              <w:jc w:val="center"/>
            </w:pPr>
            <w:r/>
            <w:r>
              <w:rPr>
                <w:rFonts w:ascii="Calibri" w:hAnsi="Calibri"/>
                <w:b/>
                <w:color w:val="FFFFFF"/>
                <w:sz w:val="20"/>
              </w:rPr>
              <w:t>USR-234</w:t>
              <w:br/>
              <w:t>APT</w:t>
            </w:r>
          </w:p>
        </w:tc>
        <w:tc>
          <w:tcPr>
            <w:tcW w:type="dxa" w:w="1152"/>
            <w:shd w:fill="0D1B2A" w:val="clear"/>
          </w:tcPr>
          <w:p>
            <w:pPr>
              <w:jc w:val="center"/>
            </w:pPr>
            <w:r/>
            <w:r>
              <w:rPr>
                <w:rFonts w:ascii="Calibri" w:hAnsi="Calibri"/>
                <w:b/>
                <w:color w:val="FFFFFF"/>
                <w:sz w:val="20"/>
              </w:rPr>
              <w:t>USR-042</w:t>
              <w:br/>
              <w:t>Volt</w:t>
            </w:r>
          </w:p>
        </w:tc>
        <w:tc>
          <w:tcPr>
            <w:tcW w:type="dxa" w:w="1152"/>
            <w:shd w:fill="0D1B2A" w:val="clear"/>
          </w:tcPr>
          <w:p>
            <w:pPr>
              <w:jc w:val="center"/>
            </w:pPr>
            <w:r/>
            <w:r>
              <w:rPr>
                <w:rFonts w:ascii="Calibri" w:hAnsi="Calibri"/>
                <w:b/>
                <w:color w:val="FFFFFF"/>
                <w:sz w:val="20"/>
              </w:rPr>
              <w:t>USR-118</w:t>
              <w:br/>
              <w:t>Salt</w:t>
            </w:r>
          </w:p>
        </w:tc>
        <w:tc>
          <w:tcPr>
            <w:tcW w:type="dxa" w:w="1008"/>
            <w:shd w:fill="0D1B2A" w:val="clear"/>
          </w:tcPr>
          <w:p>
            <w:pPr>
              <w:jc w:val="center"/>
            </w:pPr>
            <w:r/>
            <w:r>
              <w:rPr>
                <w:rFonts w:ascii="Calibri" w:hAnsi="Calibri"/>
                <w:b/>
                <w:color w:val="FFFFFF"/>
                <w:sz w:val="20"/>
              </w:rPr>
              <w:t>FP Rate</w:t>
            </w:r>
          </w:p>
        </w:tc>
      </w:tr>
      <w:tr>
        <w:tc>
          <w:tcPr>
            <w:tcW w:type="dxa" w:w="2592"/>
          </w:tcPr>
          <w:p>
            <w:pPr>
              <w:jc w:val="center"/>
            </w:pPr>
            <w:r/>
            <w:r>
              <w:rPr>
                <w:rFonts w:ascii="Calibri" w:hAnsi="Calibri"/>
                <w:sz w:val="20"/>
              </w:rPr>
              <w:t>Isolation Forest</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2.2%</w:t>
            </w:r>
          </w:p>
        </w:tc>
      </w:tr>
      <w:tr>
        <w:tc>
          <w:tcPr>
            <w:tcW w:type="dxa" w:w="2592"/>
            <w:shd w:fill="EAF0F6" w:val="clear"/>
          </w:tcPr>
          <w:p>
            <w:pPr>
              <w:jc w:val="center"/>
            </w:pPr>
            <w:r/>
            <w:r>
              <w:rPr>
                <w:rFonts w:ascii="Calibri" w:hAnsi="Calibri"/>
                <w:sz w:val="20"/>
              </w:rPr>
              <w:t>One-Class SVM</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19.6%</w:t>
            </w:r>
          </w:p>
        </w:tc>
      </w:tr>
      <w:tr>
        <w:tc>
          <w:tcPr>
            <w:tcW w:type="dxa" w:w="2592"/>
          </w:tcPr>
          <w:p>
            <w:pPr>
              <w:jc w:val="center"/>
            </w:pPr>
            <w:r/>
            <w:r>
              <w:rPr>
                <w:rFonts w:ascii="Calibri" w:hAnsi="Calibri"/>
                <w:sz w:val="20"/>
              </w:rPr>
              <w:t>LOF</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0.0%</w:t>
            </w:r>
          </w:p>
        </w:tc>
      </w:tr>
      <w:tr>
        <w:tc>
          <w:tcPr>
            <w:tcW w:type="dxa" w:w="2592"/>
            <w:shd w:fill="EAF0F6" w:val="clear"/>
          </w:tcPr>
          <w:p>
            <w:pPr>
              <w:jc w:val="center"/>
            </w:pPr>
            <w:r/>
            <w:r>
              <w:rPr>
                <w:rFonts w:ascii="Calibri" w:hAnsi="Calibri"/>
                <w:sz w:val="20"/>
              </w:rPr>
              <w:t>Z-Score (|z|&gt;3)</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2.2%</w:t>
            </w:r>
          </w:p>
        </w:tc>
      </w:tr>
      <w:tr>
        <w:tc>
          <w:tcPr>
            <w:tcW w:type="dxa" w:w="2592"/>
          </w:tcPr>
          <w:p>
            <w:pPr>
              <w:jc w:val="center"/>
            </w:pPr>
            <w:r/>
            <w:r>
              <w:rPr>
                <w:rFonts w:ascii="Calibri" w:hAnsi="Calibri"/>
                <w:sz w:val="20"/>
              </w:rPr>
              <w:t>Temporal Z-Score</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100.0%</w:t>
            </w:r>
          </w:p>
        </w:tc>
      </w:tr>
      <w:tr>
        <w:tc>
          <w:tcPr>
            <w:tcW w:type="dxa" w:w="2592"/>
            <w:shd w:fill="EAF0F6" w:val="clear"/>
          </w:tcPr>
          <w:p>
            <w:pPr>
              <w:jc w:val="center"/>
            </w:pPr>
            <w:r/>
            <w:r>
              <w:rPr>
                <w:rFonts w:ascii="Calibri" w:hAnsi="Calibri"/>
                <w:sz w:val="20"/>
              </w:rPr>
              <w:t>Feature CUSUM</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6.5%</w:t>
            </w:r>
          </w:p>
        </w:tc>
      </w:tr>
      <w:tr>
        <w:tc>
          <w:tcPr>
            <w:tcW w:type="dxa" w:w="2592"/>
          </w:tcPr>
          <w:p>
            <w:pPr>
              <w:jc w:val="center"/>
            </w:pPr>
            <w:r/>
            <w:r>
              <w:rPr>
                <w:rFonts w:ascii="Calibri" w:hAnsi="Calibri"/>
                <w:sz w:val="20"/>
              </w:rPr>
              <w:t>ACECARD Direction</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152"/>
          </w:tcPr>
          <w:p>
            <w:pPr>
              <w:jc w:val="center"/>
            </w:pPr>
            <w:r/>
            <w:r>
              <w:rPr>
                <w:rFonts w:ascii="Calibri" w:hAnsi="Calibri"/>
                <w:b/>
                <w:color w:val="C0392B"/>
                <w:sz w:val="20"/>
              </w:rPr>
              <w:t>MISSED</w:t>
            </w:r>
          </w:p>
        </w:tc>
        <w:tc>
          <w:tcPr>
            <w:tcW w:type="dxa" w:w="1008"/>
          </w:tcPr>
          <w:p>
            <w:pPr>
              <w:jc w:val="center"/>
            </w:pPr>
            <w:r/>
            <w:r>
              <w:rPr>
                <w:rFonts w:ascii="Calibri" w:hAnsi="Calibri"/>
                <w:sz w:val="20"/>
              </w:rPr>
              <w:t>4.3%</w:t>
            </w:r>
          </w:p>
        </w:tc>
      </w:tr>
      <w:tr>
        <w:tc>
          <w:tcPr>
            <w:tcW w:type="dxa" w:w="2592"/>
            <w:shd w:fill="EAF0F6" w:val="clear"/>
          </w:tcPr>
          <w:p>
            <w:pPr>
              <w:jc w:val="center"/>
            </w:pPr>
            <w:r/>
            <w:r>
              <w:rPr>
                <w:rFonts w:ascii="Calibri" w:hAnsi="Calibri"/>
                <w:sz w:val="20"/>
              </w:rPr>
              <w:t>T3 Zone Divergence</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b/>
                <w:color w:val="C0392B"/>
                <w:sz w:val="20"/>
              </w:rPr>
              <w:t>MISSED</w:t>
            </w:r>
          </w:p>
        </w:tc>
        <w:tc>
          <w:tcPr>
            <w:tcW w:type="dxa" w:w="1152"/>
            <w:shd w:fill="EAF0F6" w:val="clear"/>
          </w:tcPr>
          <w:p>
            <w:pPr>
              <w:jc w:val="center"/>
            </w:pPr>
            <w:r/>
            <w:r>
              <w:rPr>
                <w:rFonts w:ascii="Calibri" w:hAnsi="Calibri"/>
                <w:b/>
                <w:color w:val="C0392B"/>
                <w:sz w:val="20"/>
              </w:rPr>
              <w:t>MISSED</w:t>
            </w:r>
          </w:p>
        </w:tc>
        <w:tc>
          <w:tcPr>
            <w:tcW w:type="dxa" w:w="1008"/>
            <w:shd w:fill="EAF0F6" w:val="clear"/>
          </w:tcPr>
          <w:p>
            <w:pPr>
              <w:jc w:val="center"/>
            </w:pPr>
            <w:r/>
            <w:r>
              <w:rPr>
                <w:rFonts w:ascii="Calibri" w:hAnsi="Calibri"/>
                <w:sz w:val="20"/>
              </w:rPr>
              <w:t>6.5%</w:t>
            </w:r>
          </w:p>
        </w:tc>
      </w:tr>
      <w:tr>
        <w:tc>
          <w:tcPr>
            <w:tcW w:type="dxa" w:w="2592"/>
          </w:tcPr>
          <w:p>
            <w:pPr>
              <w:jc w:val="center"/>
            </w:pPr>
            <w:r/>
            <w:r>
              <w:rPr>
                <w:rFonts w:ascii="Calibri" w:hAnsi="Calibri"/>
                <w:sz w:val="20"/>
              </w:rPr>
              <w:t>T3 Combined</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152"/>
          </w:tcPr>
          <w:p>
            <w:pPr>
              <w:jc w:val="center"/>
            </w:pPr>
            <w:r/>
            <w:r>
              <w:rPr>
                <w:rFonts w:ascii="Calibri" w:hAnsi="Calibri"/>
                <w:sz w:val="20"/>
              </w:rPr>
              <w:t>DET</w:t>
            </w:r>
          </w:p>
        </w:tc>
        <w:tc>
          <w:tcPr>
            <w:tcW w:type="dxa" w:w="1008"/>
          </w:tcPr>
          <w:p>
            <w:pPr>
              <w:jc w:val="center"/>
            </w:pPr>
            <w:r/>
            <w:r>
              <w:rPr>
                <w:rFonts w:ascii="Calibri" w:hAnsi="Calibri"/>
                <w:sz w:val="20"/>
              </w:rPr>
              <w:t>8.7%</w:t>
            </w:r>
          </w:p>
        </w:tc>
      </w:tr>
      <w:tr>
        <w:tc>
          <w:tcPr>
            <w:tcW w:type="dxa" w:w="2592"/>
            <w:shd w:fill="EAF0F6" w:val="clear"/>
          </w:tcPr>
          <w:p>
            <w:pPr>
              <w:jc w:val="center"/>
            </w:pPr>
            <w:r/>
            <w:r>
              <w:rPr>
                <w:rFonts w:ascii="Calibri" w:hAnsi="Calibri"/>
                <w:sz w:val="20"/>
              </w:rPr>
              <w:t>LOF + Zone Div</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152"/>
            <w:shd w:fill="EAF0F6" w:val="clear"/>
          </w:tcPr>
          <w:p>
            <w:pPr>
              <w:jc w:val="center"/>
            </w:pPr>
            <w:r/>
            <w:r>
              <w:rPr>
                <w:rFonts w:ascii="Calibri" w:hAnsi="Calibri"/>
                <w:sz w:val="20"/>
              </w:rPr>
              <w:t>DET</w:t>
            </w:r>
          </w:p>
        </w:tc>
        <w:tc>
          <w:tcPr>
            <w:tcW w:type="dxa" w:w="1008"/>
            <w:shd w:fill="EAF0F6" w:val="clear"/>
          </w:tcPr>
          <w:p>
            <w:pPr>
              <w:jc w:val="center"/>
            </w:pPr>
            <w:r/>
            <w:r>
              <w:rPr>
                <w:rFonts w:ascii="Calibri" w:hAnsi="Calibri"/>
                <w:sz w:val="20"/>
              </w:rPr>
              <w:t>6.5%</w:t>
            </w:r>
          </w:p>
        </w:tc>
      </w:tr>
    </w:tbl>
    <w:p>
      <w:pPr>
        <w:spacing w:after="120" w:before="0" w:line="280" w:lineRule="exact"/>
      </w:pPr>
      <w:r>
        <w:rPr>
          <w:rFonts w:ascii="Calibri" w:hAnsi="Calibri"/>
          <w:b w:val="0"/>
          <w:color w:val="000000"/>
          <w:sz w:val="22"/>
        </w:rPr>
        <w:t>The optimal 2-method ensemble is LOF + Zone Divergence. LOF detects 3 of 4 attacks at 0% FP by catching network-footprint anomalies. Zone Divergence detects USR-156 (insider) and USR-234 (APT) at 6.5% FP by analyzing zone-specific behavioral drift. Together: all 4 attacks detected at 6.5% FP — the only combination achieving full coverage at operationally viable rates.</w:t>
      </w:r>
    </w:p>
    <w:p>
      <w:pPr>
        <w:pStyle w:val="Heading2"/>
        <w:spacing w:before="240" w:after="160"/>
      </w:pPr>
      <w:r>
        <w:rPr>
          <w:rFonts w:ascii="Calibri" w:hAnsi="Calibri"/>
          <w:color w:val="0D1B2A"/>
        </w:rPr>
        <w:t>Detection-Precision Tradeoff</w:t>
      </w:r>
    </w:p>
    <w:p>
      <w:pPr>
        <w:spacing w:after="120" w:before="0" w:line="280" w:lineRule="exact"/>
      </w:pPr>
      <w:r>
        <w:rPr>
          <w:rFonts w:ascii="Calibri" w:hAnsi="Calibri"/>
          <w:b w:val="0"/>
          <w:color w:val="000000"/>
          <w:sz w:val="22"/>
        </w:rPr>
        <w:t>The results reveal a stark detection-precision tradeoff across the seventeen approaches:</w:t>
      </w:r>
    </w:p>
    <w:p>
      <w:pPr>
        <w:pStyle w:val="ListBullet"/>
        <w:spacing w:after="60" w:before="0"/>
      </w:pPr>
      <w:r>
        <w:rPr>
          <w:rFonts w:ascii="Calibri" w:hAnsi="Calibri"/>
          <w:b/>
          <w:sz w:val="22"/>
        </w:rPr>
        <w:t xml:space="preserve">Best Traditional (LOF): </w:t>
      </w:r>
      <w:r>
        <w:rPr>
          <w:rFonts w:ascii="Calibri" w:hAnsi="Calibri"/>
          <w:sz w:val="22"/>
        </w:rPr>
        <w:t>LOF is the best single method: 3/4 attacks at 0% FP. But it completely misses USR-156 (insider threat) because behavioral-direction attacks create no density anomalies.</w:t>
      </w:r>
    </w:p>
    <w:p>
      <w:pPr>
        <w:pStyle w:val="ListBullet"/>
        <w:spacing w:after="60" w:before="0"/>
      </w:pPr>
      <w:r>
        <w:rPr>
          <w:rFonts w:ascii="Calibri" w:hAnsi="Calibri"/>
          <w:b/>
          <w:sz w:val="22"/>
        </w:rPr>
        <w:t xml:space="preserve">Temporal algorithms: </w:t>
      </w:r>
      <w:r>
        <w:rPr>
          <w:rFonts w:ascii="Calibri" w:hAnsi="Calibri"/>
          <w:sz w:val="22"/>
        </w:rPr>
        <w:t>Temporal Z-Score detects all 4 but at 100% FP. Feature CUSUM achieves 6.5% FP but only detects 2/4 — they cannot distinguish threat drift from normal evolution.</w:t>
      </w:r>
    </w:p>
    <w:p>
      <w:pPr>
        <w:pStyle w:val="ListBullet"/>
        <w:spacing w:after="60" w:before="0"/>
      </w:pPr>
      <w:r>
        <w:rPr>
          <w:rFonts w:ascii="Calibri" w:hAnsi="Calibri"/>
          <w:b/>
          <w:sz w:val="22"/>
        </w:rPr>
        <w:t xml:space="preserve">Tier 3 Zone Divergence: </w:t>
      </w:r>
      <w:r>
        <w:rPr>
          <w:rFonts w:ascii="Calibri" w:hAnsi="Calibri"/>
          <w:sz w:val="22"/>
        </w:rPr>
        <w:t>Zone Divergence detects USR-156 and USR-234 by analyzing which behavioral zones drift while identity remains stable. 6.5% FP — the only method that catches the insider at viable rates.</w:t>
      </w:r>
    </w:p>
    <w:p>
      <w:pPr>
        <w:pStyle w:val="ListBullet"/>
        <w:spacing w:after="60" w:before="0"/>
      </w:pPr>
      <w:r>
        <w:rPr>
          <w:rFonts w:ascii="Calibri" w:hAnsi="Calibri"/>
          <w:b/>
          <w:sz w:val="22"/>
        </w:rPr>
        <w:t xml:space="preserve">LOF + Zone Divergence: </w:t>
      </w:r>
      <w:r>
        <w:rPr>
          <w:rFonts w:ascii="Calibri" w:hAnsi="Calibri"/>
          <w:sz w:val="22"/>
        </w:rPr>
        <w:t>LOF catches network-footprint attacks, Zone Divergence catches behavioral-direction attacks. Together: all 4 campaigns detected at 6.5% FP — the optimal ensemble.</w:t>
      </w:r>
    </w:p>
    <w:p>
      <w:pPr>
        <w:pStyle w:val="Heading2"/>
        <w:spacing w:before="240" w:after="160"/>
      </w:pPr>
      <w:r>
        <w:rPr>
          <w:rFonts w:ascii="Calibri" w:hAnsi="Calibri"/>
          <w:color w:val="0D1B2A"/>
        </w:rPr>
        <w:t>Why Traditional Methods Fail</w:t>
      </w:r>
    </w:p>
    <w:p>
      <w:pPr>
        <w:spacing w:after="120" w:before="0" w:line="280" w:lineRule="exact"/>
      </w:pPr>
      <w:r>
        <w:rPr>
          <w:rFonts w:ascii="Calibri" w:hAnsi="Calibri"/>
          <w:b w:val="0"/>
          <w:color w:val="000000"/>
          <w:sz w:val="22"/>
        </w:rPr>
        <w:t>Traditional anomaly detection algorithms share a common architectural limitation: they measure how much behavior deviates from normal, not what kind of deviation is occurring. This magnitude-based approach can detect attacks that leave a network footprint (like USR-234's C2 beaconing) but fails against behavioral-direction attacks (like USR-156's insider threat) for three specific reasons:</w:t>
      </w:r>
    </w:p>
    <w:p>
      <w:pPr>
        <w:spacing w:after="120" w:before="0" w:line="280" w:lineRule="exact"/>
      </w:pPr>
      <w:r>
        <w:rPr>
          <w:rFonts w:ascii="Calibri" w:hAnsi="Calibri"/>
          <w:b/>
          <w:color w:val="000000"/>
          <w:sz w:val="22"/>
        </w:rPr>
        <w:t xml:space="preserve">1. Mean aggregation destroys temporal signal. </w:t>
      </w:r>
      <w:r>
        <w:rPr>
          <w:rFonts w:ascii="Calibri" w:hAnsi="Calibri"/>
          <w:b w:val="0"/>
          <w:color w:val="000000"/>
          <w:sz w:val="22"/>
        </w:rPr>
        <w:t>When a user's 19 weekly feature vectors are averaged into a single mean vector, the gradual escalation of an 8-month insider threat is averaged with weeks of normal behavior. The attack signal is diluted to the point of statistical invisibility.</w:t>
      </w:r>
    </w:p>
    <w:p>
      <w:pPr>
        <w:spacing w:after="120" w:before="0" w:line="280" w:lineRule="exact"/>
      </w:pPr>
      <w:r>
        <w:rPr>
          <w:rFonts w:ascii="Calibri" w:hAnsi="Calibri"/>
          <w:b/>
          <w:color w:val="000000"/>
          <w:sz w:val="22"/>
        </w:rPr>
        <w:t xml:space="preserve">2. Feature-space distance ignores behavioral semantics. </w:t>
      </w:r>
      <w:r>
        <w:rPr>
          <w:rFonts w:ascii="Calibri" w:hAnsi="Calibri"/>
          <w:b w:val="0"/>
          <w:color w:val="000000"/>
          <w:sz w:val="22"/>
        </w:rPr>
        <w:t>A user who shifts from accessing 10 public files to 10 restricted files shows zero change in the 'file_total' feature. The behavioral change is entirely in the composition of their access, not its volume. Feature-space algorithms cannot see this because they lack a representation of what the files contain.</w:t>
      </w:r>
    </w:p>
    <w:p>
      <w:pPr>
        <w:spacing w:after="120" w:before="0" w:line="280" w:lineRule="exact"/>
      </w:pPr>
      <w:r>
        <w:rPr>
          <w:rFonts w:ascii="Calibri" w:hAnsi="Calibri"/>
          <w:b/>
          <w:color w:val="000000"/>
          <w:sz w:val="22"/>
        </w:rPr>
        <w:t xml:space="preserve">3. Population-relative scoring favors volume over direction. </w:t>
      </w:r>
      <w:r>
        <w:rPr>
          <w:rFonts w:ascii="Calibri" w:hAnsi="Calibri"/>
          <w:b w:val="0"/>
          <w:color w:val="000000"/>
          <w:sz w:val="22"/>
        </w:rPr>
        <w:t>Algorithms like Isolation Forest and LOF score anomalies based on distance from the population cluster. A user who accesses an unusual combination of systems but at normal volumes will score as normal, while a user who simply works more hours than average may score as anomalous. The algorithms optimize for the wrong signal.</w:t>
      </w:r>
    </w:p>
    <w:p>
      <w:pPr>
        <w:pStyle w:val="Heading2"/>
        <w:spacing w:before="240" w:after="160"/>
      </w:pPr>
      <w:r>
        <w:rPr>
          <w:rFonts w:ascii="Calibri" w:hAnsi="Calibri"/>
          <w:color w:val="0D1B2A"/>
        </w:rPr>
        <w:t>Drift Direction Analysis</w:t>
      </w:r>
    </w:p>
    <w:p>
      <w:pPr>
        <w:spacing w:after="120" w:before="0" w:line="280" w:lineRule="exact"/>
      </w:pPr>
      <w:r>
        <w:rPr>
          <w:rFonts w:ascii="Calibri" w:hAnsi="Calibri"/>
          <w:b w:val="0"/>
          <w:color w:val="000000"/>
          <w:sz w:val="22"/>
        </w:rPr>
        <w:t>The contrast between magnitude-based detection and direction-based detection illustrates why behavioral semantics matter:</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872"/>
        <w:gridCol w:w="1872"/>
        <w:gridCol w:w="1872"/>
        <w:gridCol w:w="1872"/>
        <w:gridCol w:w="1872"/>
      </w:tblGrid>
      <w:tr>
        <w:tc>
          <w:tcPr>
            <w:tcW w:type="dxa" w:w="1296"/>
            <w:shd w:fill="0D1B2A" w:val="clear"/>
          </w:tcPr>
          <w:p>
            <w:pPr>
              <w:jc w:val="center"/>
            </w:pPr>
            <w:r/>
            <w:r>
              <w:rPr>
                <w:rFonts w:ascii="Calibri" w:hAnsi="Calibri"/>
                <w:b/>
                <w:color w:val="FFFFFF"/>
                <w:sz w:val="20"/>
              </w:rPr>
              <w:t>User</w:t>
            </w:r>
          </w:p>
        </w:tc>
        <w:tc>
          <w:tcPr>
            <w:tcW w:type="dxa" w:w="1872"/>
            <w:shd w:fill="0D1B2A" w:val="clear"/>
          </w:tcPr>
          <w:p>
            <w:pPr>
              <w:jc w:val="center"/>
            </w:pPr>
            <w:r/>
            <w:r>
              <w:rPr>
                <w:rFonts w:ascii="Calibri" w:hAnsi="Calibri"/>
                <w:b/>
                <w:color w:val="FFFFFF"/>
                <w:sz w:val="20"/>
              </w:rPr>
              <w:t>Attack Type</w:t>
            </w:r>
          </w:p>
        </w:tc>
        <w:tc>
          <w:tcPr>
            <w:tcW w:type="dxa" w:w="1440"/>
            <w:shd w:fill="0D1B2A" w:val="clear"/>
          </w:tcPr>
          <w:p>
            <w:pPr>
              <w:jc w:val="center"/>
            </w:pPr>
            <w:r/>
            <w:r>
              <w:rPr>
                <w:rFonts w:ascii="Calibri" w:hAnsi="Calibri"/>
                <w:b/>
                <w:color w:val="FFFFFF"/>
                <w:sz w:val="20"/>
              </w:rPr>
              <w:t>LOF</w:t>
              <w:br/>
              <w:t>(Tier 1)</w:t>
            </w:r>
          </w:p>
        </w:tc>
        <w:tc>
          <w:tcPr>
            <w:tcW w:type="dxa" w:w="1440"/>
            <w:shd w:fill="0D1B2A" w:val="clear"/>
          </w:tcPr>
          <w:p>
            <w:pPr>
              <w:jc w:val="center"/>
            </w:pPr>
            <w:r/>
            <w:r>
              <w:rPr>
                <w:rFonts w:ascii="Calibri" w:hAnsi="Calibri"/>
                <w:b/>
                <w:color w:val="FFFFFF"/>
                <w:sz w:val="20"/>
              </w:rPr>
              <w:t>Zone Div</w:t>
              <w:br/>
              <w:t>(Tier 3)</w:t>
            </w:r>
          </w:p>
        </w:tc>
        <w:tc>
          <w:tcPr>
            <w:tcW w:type="dxa" w:w="1440"/>
            <w:shd w:fill="0D1B2A" w:val="clear"/>
          </w:tcPr>
          <w:p>
            <w:pPr>
              <w:jc w:val="center"/>
            </w:pPr>
            <w:r/>
            <w:r>
              <w:rPr>
                <w:rFonts w:ascii="Calibri" w:hAnsi="Calibri"/>
                <w:b/>
                <w:color w:val="FFFFFF"/>
                <w:sz w:val="20"/>
              </w:rPr>
              <w:t>Ensemble</w:t>
            </w:r>
          </w:p>
        </w:tc>
      </w:tr>
      <w:tr>
        <w:tc>
          <w:tcPr>
            <w:tcW w:type="dxa" w:w="1296"/>
          </w:tcPr>
          <w:p>
            <w:pPr>
              <w:jc w:val="center"/>
            </w:pPr>
            <w:r/>
            <w:r>
              <w:rPr>
                <w:rFonts w:ascii="Calibri" w:hAnsi="Calibri"/>
                <w:sz w:val="20"/>
              </w:rPr>
              <w:t>USR-156</w:t>
            </w:r>
          </w:p>
        </w:tc>
        <w:tc>
          <w:tcPr>
            <w:tcW w:type="dxa" w:w="1872"/>
          </w:tcPr>
          <w:p>
            <w:pPr>
              <w:jc w:val="center"/>
            </w:pPr>
            <w:r/>
            <w:r>
              <w:rPr>
                <w:rFonts w:ascii="Calibri" w:hAnsi="Calibri"/>
                <w:sz w:val="20"/>
              </w:rPr>
              <w:t>Insider Threat</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1E8A49"/>
                <w:sz w:val="20"/>
              </w:rPr>
              <w:t>DETECTED</w:t>
            </w:r>
          </w:p>
        </w:tc>
      </w:tr>
      <w:tr>
        <w:tc>
          <w:tcPr>
            <w:tcW w:type="dxa" w:w="1296"/>
            <w:shd w:fill="EAF0F6" w:val="clear"/>
          </w:tcPr>
          <w:p>
            <w:pPr>
              <w:jc w:val="center"/>
            </w:pPr>
            <w:r/>
            <w:r>
              <w:rPr>
                <w:rFonts w:ascii="Calibri" w:hAnsi="Calibri"/>
                <w:sz w:val="20"/>
              </w:rPr>
              <w:t>USR-234</w:t>
            </w:r>
          </w:p>
        </w:tc>
        <w:tc>
          <w:tcPr>
            <w:tcW w:type="dxa" w:w="1872"/>
            <w:shd w:fill="EAF0F6" w:val="clear"/>
          </w:tcPr>
          <w:p>
            <w:pPr>
              <w:jc w:val="center"/>
            </w:pPr>
            <w:r/>
            <w:r>
              <w:rPr>
                <w:rFonts w:ascii="Calibri" w:hAnsi="Calibri"/>
                <w:sz w:val="20"/>
              </w:rPr>
              <w:t>Slow APT / C2</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1E8A49"/>
                <w:sz w:val="20"/>
              </w:rPr>
              <w:t>DETECTED</w:t>
            </w:r>
          </w:p>
        </w:tc>
      </w:tr>
      <w:tr>
        <w:tc>
          <w:tcPr>
            <w:tcW w:type="dxa" w:w="1296"/>
          </w:tcPr>
          <w:p>
            <w:pPr>
              <w:jc w:val="center"/>
            </w:pPr>
            <w:r/>
            <w:r>
              <w:rPr>
                <w:rFonts w:ascii="Calibri" w:hAnsi="Calibri"/>
                <w:sz w:val="20"/>
              </w:rPr>
              <w:t>USR-042</w:t>
            </w:r>
          </w:p>
        </w:tc>
        <w:tc>
          <w:tcPr>
            <w:tcW w:type="dxa" w:w="1872"/>
          </w:tcPr>
          <w:p>
            <w:pPr>
              <w:jc w:val="center"/>
            </w:pPr>
            <w:r/>
            <w:r>
              <w:rPr>
                <w:rFonts w:ascii="Calibri" w:hAnsi="Calibri"/>
                <w:sz w:val="20"/>
              </w:rPr>
              <w:t>Volt Typhoon</w:t>
            </w:r>
          </w:p>
        </w:tc>
        <w:tc>
          <w:tcPr>
            <w:tcW w:type="dxa" w:w="1440"/>
          </w:tcPr>
          <w:p>
            <w:pPr>
              <w:jc w:val="center"/>
            </w:pPr>
            <w:r/>
            <w:r>
              <w:rPr>
                <w:rFonts w:ascii="Calibri" w:hAnsi="Calibri"/>
                <w:b/>
                <w:color w:val="1E8A49"/>
                <w:sz w:val="20"/>
              </w:rPr>
              <w:t>DETECTED</w:t>
            </w:r>
          </w:p>
        </w:tc>
        <w:tc>
          <w:tcPr>
            <w:tcW w:type="dxa" w:w="1440"/>
          </w:tcPr>
          <w:p>
            <w:pPr>
              <w:jc w:val="center"/>
            </w:pPr>
            <w:r/>
            <w:r>
              <w:rPr>
                <w:rFonts w:ascii="Calibri" w:hAnsi="Calibri"/>
                <w:b/>
                <w:color w:val="C0392B"/>
                <w:sz w:val="20"/>
              </w:rPr>
              <w:t>MISSED</w:t>
            </w:r>
          </w:p>
        </w:tc>
        <w:tc>
          <w:tcPr>
            <w:tcW w:type="dxa" w:w="1440"/>
          </w:tcPr>
          <w:p>
            <w:pPr>
              <w:jc w:val="center"/>
            </w:pPr>
            <w:r/>
            <w:r>
              <w:rPr>
                <w:rFonts w:ascii="Calibri" w:hAnsi="Calibri"/>
                <w:b/>
                <w:color w:val="1E8A49"/>
                <w:sz w:val="20"/>
              </w:rPr>
              <w:t>DETECTED</w:t>
            </w:r>
          </w:p>
        </w:tc>
      </w:tr>
      <w:tr>
        <w:tc>
          <w:tcPr>
            <w:tcW w:type="dxa" w:w="1296"/>
            <w:shd w:fill="EAF0F6" w:val="clear"/>
          </w:tcPr>
          <w:p>
            <w:pPr>
              <w:jc w:val="center"/>
            </w:pPr>
            <w:r/>
            <w:r>
              <w:rPr>
                <w:rFonts w:ascii="Calibri" w:hAnsi="Calibri"/>
                <w:sz w:val="20"/>
              </w:rPr>
              <w:t>USR-118</w:t>
            </w:r>
          </w:p>
        </w:tc>
        <w:tc>
          <w:tcPr>
            <w:tcW w:type="dxa" w:w="1872"/>
            <w:shd w:fill="EAF0F6" w:val="clear"/>
          </w:tcPr>
          <w:p>
            <w:pPr>
              <w:jc w:val="center"/>
            </w:pPr>
            <w:r/>
            <w:r>
              <w:rPr>
                <w:rFonts w:ascii="Calibri" w:hAnsi="Calibri"/>
                <w:sz w:val="20"/>
              </w:rPr>
              <w:t>Salt Typhoon</w:t>
            </w:r>
          </w:p>
        </w:tc>
        <w:tc>
          <w:tcPr>
            <w:tcW w:type="dxa" w:w="1440"/>
            <w:shd w:fill="EAF0F6" w:val="clear"/>
          </w:tcPr>
          <w:p>
            <w:pPr>
              <w:jc w:val="center"/>
            </w:pPr>
            <w:r/>
            <w:r>
              <w:rPr>
                <w:rFonts w:ascii="Calibri" w:hAnsi="Calibri"/>
                <w:b/>
                <w:color w:val="1E8A49"/>
                <w:sz w:val="20"/>
              </w:rPr>
              <w:t>DETECTED</w:t>
            </w:r>
          </w:p>
        </w:tc>
        <w:tc>
          <w:tcPr>
            <w:tcW w:type="dxa" w:w="1440"/>
            <w:shd w:fill="EAF0F6" w:val="clear"/>
          </w:tcPr>
          <w:p>
            <w:pPr>
              <w:jc w:val="center"/>
            </w:pPr>
            <w:r/>
            <w:r>
              <w:rPr>
                <w:rFonts w:ascii="Calibri" w:hAnsi="Calibri"/>
                <w:b/>
                <w:color w:val="C0392B"/>
                <w:sz w:val="20"/>
              </w:rPr>
              <w:t>MISSED</w:t>
            </w:r>
          </w:p>
        </w:tc>
        <w:tc>
          <w:tcPr>
            <w:tcW w:type="dxa" w:w="1440"/>
            <w:shd w:fill="EAF0F6" w:val="clear"/>
          </w:tcPr>
          <w:p>
            <w:pPr>
              <w:jc w:val="center"/>
            </w:pPr>
            <w:r/>
            <w:r>
              <w:rPr>
                <w:rFonts w:ascii="Calibri" w:hAnsi="Calibri"/>
                <w:b/>
                <w:color w:val="1E8A49"/>
                <w:sz w:val="20"/>
              </w:rPr>
              <w:t>DETECTED</w:t>
            </w:r>
          </w:p>
        </w:tc>
      </w:tr>
    </w:tbl>
    <w:p/>
    <w:p>
      <w:pPr>
        <w:spacing w:after="120" w:before="0" w:line="280" w:lineRule="exact"/>
      </w:pPr>
      <w:r>
        <w:rPr>
          <w:rFonts w:ascii="Calibri" w:hAnsi="Calibri"/>
          <w:b w:val="0"/>
          <w:color w:val="000000"/>
          <w:sz w:val="22"/>
        </w:rPr>
        <w:t>LOF and Zone Divergence detect perfectly complementary attack types. LOF catches USR-234, USR-042, and USR-118 because their activities create density anomalies in the feature space. Zone Divergence catches USR-156 and USR-234 because their behavioral zones drift independently (e.g., data_behavior drifting while identity remains stable). The LOF + Zone Divergence ensemble detects all 4 at 6.5% FP.</w:t>
      </w:r>
    </w:p>
    <w:p>
      <w:r>
        <w:br w:type="page"/>
      </w:r>
    </w:p>
    <w:p>
      <w:pPr>
        <w:pStyle w:val="Heading1"/>
        <w:spacing w:before="360" w:after="160"/>
      </w:pPr>
      <w:r>
        <w:rPr>
          <w:rFonts w:ascii="Calibri" w:hAnsi="Calibri"/>
          <w:color w:val="0D1B2A"/>
        </w:rPr>
        <w:t>8. Key Findings &amp; Conclusions</w:t>
      </w:r>
    </w:p>
    <w:p>
      <w:pPr>
        <w:pStyle w:val="Heading2"/>
        <w:spacing w:before="240" w:after="160"/>
      </w:pPr>
      <w:r>
        <w:rPr>
          <w:rFonts w:ascii="Calibri" w:hAnsi="Calibri"/>
          <w:color w:val="0D1B2A"/>
        </w:rPr>
        <w:t>Finding 1: LOF Is the Best Traditional Method but Cannot Detect Insider Threats</w:t>
      </w:r>
    </w:p>
    <w:p>
      <w:pPr>
        <w:spacing w:after="120" w:before="0" w:line="280" w:lineRule="exact"/>
      </w:pPr>
      <w:r>
        <w:rPr>
          <w:rFonts w:ascii="Calibri" w:hAnsi="Calibri"/>
          <w:b/>
          <w:color w:val="000000"/>
          <w:sz w:val="22"/>
        </w:rPr>
        <w:t>Local Outlier Factor detects 3 of 4 attacks (USR-234, USR-042, USR-118) at 0% FP—the best single traditional method. However, USR-156's insider threat remains completely invisible to LOF and all other traditional algorithms. The insider changes WHAT they access, not HOW MUCH, and traditional methods are structurally blind to this distinction. No amount of parameter tuning can overcome this fundamental limitation of algorithms that measure magnitude rather than direction.</w:t>
      </w:r>
    </w:p>
    <w:p>
      <w:pPr>
        <w:pStyle w:val="Heading2"/>
        <w:spacing w:before="240" w:after="160"/>
      </w:pPr>
      <w:r>
        <w:rPr>
          <w:rFonts w:ascii="Calibri" w:hAnsi="Calibri"/>
          <w:color w:val="0D1B2A"/>
        </w:rPr>
        <w:t>Finding 2: No Single Method Detects All Four Campaign Types</w:t>
      </w:r>
    </w:p>
    <w:p>
      <w:pPr>
        <w:spacing w:after="120" w:before="0" w:line="280" w:lineRule="exact"/>
      </w:pPr>
      <w:r>
        <w:rPr>
          <w:rFonts w:ascii="Calibri" w:hAnsi="Calibri"/>
          <w:b/>
          <w:color w:val="000000"/>
          <w:sz w:val="22"/>
        </w:rPr>
        <w:t>Across 17 methods in 3 detection tiers, no single algorithm detects all 4 attacks at operationally viable false positive rates. Temporal Z-Score catches all 4 but at 100% FP—unusable. Feature CUSUM achieves 6.5% FP but only detects 2 of 4. Each method has blind spots in different signal categories. This confirms that a multi-method ensemble approach is architecturally necessary.</w:t>
      </w:r>
    </w:p>
    <w:p>
      <w:pPr>
        <w:pStyle w:val="Heading2"/>
        <w:spacing w:before="240" w:after="160"/>
      </w:pPr>
      <w:r>
        <w:rPr>
          <w:rFonts w:ascii="Calibri" w:hAnsi="Calibri"/>
          <w:color w:val="0D1B2A"/>
        </w:rPr>
        <w:t>Finding 3: Zone-Based Behavioral Analysis Fills the Detection Gap</w:t>
      </w:r>
    </w:p>
    <w:p>
      <w:pPr>
        <w:spacing w:after="120" w:before="0" w:line="280" w:lineRule="exact"/>
      </w:pPr>
      <w:r>
        <w:rPr>
          <w:rFonts w:ascii="Calibri" w:hAnsi="Calibri"/>
          <w:b/>
          <w:color w:val="000000"/>
          <w:sz w:val="22"/>
        </w:rPr>
        <w:t>Tier 3 Zone Divergence detection identifies attacks by analyzing which behavioral dimensions drift while identity remains stable. USR-156 shows data_behavior zone drifting while identity is stable—the signature of an insider threat. USR-234 shows network_footprint zone drifting—the signature of an APT. Traditional methods cannot make this distinction because they aggregate all features into a single anomaly score, losing the zone-specific signal that reveals the attack type.</w:t>
      </w:r>
    </w:p>
    <w:p>
      <w:pPr>
        <w:pStyle w:val="Heading2"/>
        <w:spacing w:before="240" w:after="160"/>
      </w:pPr>
      <w:r>
        <w:rPr>
          <w:rFonts w:ascii="Calibri" w:hAnsi="Calibri"/>
          <w:color w:val="0D1B2A"/>
        </w:rPr>
        <w:t>Finding 4: LOF + Zone Divergence Is the Optimal 2-Method Ensemble</w:t>
      </w:r>
    </w:p>
    <w:p>
      <w:pPr>
        <w:spacing w:after="120" w:before="0" w:line="280" w:lineRule="exact"/>
      </w:pPr>
      <w:r>
        <w:rPr>
          <w:rFonts w:ascii="Calibri" w:hAnsi="Calibri"/>
          <w:b/>
          <w:color w:val="000000"/>
          <w:sz w:val="22"/>
        </w:rPr>
        <w:t>The LOF + Tier 3 Zone Divergence ensemble detects all 4 attack campaigns at only 6.5% combined false positive rate—the best result across all 17 methods and their combinations. LOF contributes 3 detections (USR-234, USR-042, USR-118) at 0% FP. Zone Divergence contributes the missing insider threat (USR-156) by detecting data_behavior zone drifting while identity remains stable—a signal invisible to all traditional methods. This 2-method ensemble achieves complete coverage at roughly half the false positive rate of the next-best combination.</w:t>
      </w:r>
    </w:p>
    <w:p>
      <w:r>
        <w:br w:type="page"/>
      </w:r>
    </w:p>
    <w:p>
      <w:pPr>
        <w:pStyle w:val="Heading1"/>
        <w:spacing w:before="360" w:after="160"/>
      </w:pPr>
      <w:r>
        <w:rPr>
          <w:rFonts w:ascii="Calibri" w:hAnsi="Calibri"/>
          <w:color w:val="0D1B2A"/>
        </w:rPr>
        <w:t>9. Recommendations</w:t>
      </w:r>
    </w:p>
    <w:p>
      <w:pPr>
        <w:spacing w:after="120" w:before="0" w:line="280" w:lineRule="exact"/>
      </w:pPr>
      <w:r>
        <w:rPr>
          <w:rFonts w:ascii="Calibri" w:hAnsi="Calibri"/>
          <w:b w:val="0"/>
          <w:color w:val="000000"/>
          <w:sz w:val="22"/>
        </w:rPr>
        <w:t>Based on the empirical findings of this analysis, we offer the following recommendations for federal agencies evaluating User and Entity Behavior Analytics (UEBA) solutions:</w:t>
      </w:r>
    </w:p>
    <w:p>
      <w:pPr>
        <w:pStyle w:val="Heading2"/>
        <w:spacing w:before="240" w:after="160"/>
      </w:pPr>
      <w:r>
        <w:rPr>
          <w:rFonts w:ascii="Calibri" w:hAnsi="Calibri"/>
          <w:color w:val="0D1B2A"/>
        </w:rPr>
        <w:t>Recommendation 1: Require Temporal Behavioral Analysis</w:t>
      </w:r>
    </w:p>
    <w:p>
      <w:pPr>
        <w:spacing w:after="120" w:before="0" w:line="280" w:lineRule="exact"/>
      </w:pPr>
      <w:r>
        <w:rPr>
          <w:rFonts w:ascii="Calibri" w:hAnsi="Calibri"/>
          <w:b w:val="0"/>
          <w:color w:val="000000"/>
          <w:sz w:val="22"/>
        </w:rPr>
        <w:t>Any UEBA solution under evaluation should be required to demonstrate detection of slow attacks with campaigns spanning 90+ days. Static anomaly detection (Isolation Forest, LOF, One-Class SVM) should be considered insufficient as a primary detection mechanism. These algorithms have a role in detecting fast, high-magnitude anomalies, but they must be supplemented by temporal analysis that tracks behavioral trajectories over weeks and months.</w:t>
      </w:r>
    </w:p>
    <w:p>
      <w:pPr>
        <w:pStyle w:val="Heading2"/>
        <w:spacing w:before="240" w:after="160"/>
      </w:pPr>
      <w:r>
        <w:rPr>
          <w:rFonts w:ascii="Calibri" w:hAnsi="Calibri"/>
          <w:color w:val="0D1B2A"/>
        </w:rPr>
        <w:t>Recommendation 2: Demand Semantic Behavioral Representations</w:t>
      </w:r>
    </w:p>
    <w:p>
      <w:pPr>
        <w:spacing w:after="120" w:before="0" w:line="280" w:lineRule="exact"/>
      </w:pPr>
      <w:r>
        <w:rPr>
          <w:rFonts w:ascii="Calibri" w:hAnsi="Calibri"/>
          <w:b w:val="0"/>
          <w:color w:val="000000"/>
          <w:sz w:val="22"/>
        </w:rPr>
        <w:t>Feature-space approaches—even temporal ones—suffer from the inability to distinguish benign behavioral evolution from threat-associated drift. Solutions should be evaluated on their ability to capture the meaning of behavioral change, not just its statistical magnitude. Ask vendors: 'Can your system distinguish between a user who increases file access due to a promotion and a user who increases file access as part of data staging?' If the answer relies solely on volume thresholds, the system has the same blind spot demonstrated in this analysis.</w:t>
      </w:r>
    </w:p>
    <w:p>
      <w:pPr>
        <w:pStyle w:val="Heading2"/>
        <w:spacing w:before="240" w:after="160"/>
      </w:pPr>
      <w:r>
        <w:rPr>
          <w:rFonts w:ascii="Calibri" w:hAnsi="Calibri"/>
          <w:color w:val="0D1B2A"/>
        </w:rPr>
        <w:t>Recommendation 3: Evaluate False Positive Rates Under Realistic Conditions</w:t>
      </w:r>
    </w:p>
    <w:p>
      <w:pPr>
        <w:spacing w:after="120" w:before="0" w:line="280" w:lineRule="exact"/>
      </w:pPr>
      <w:r>
        <w:rPr>
          <w:rFonts w:ascii="Calibri" w:hAnsi="Calibri"/>
          <w:b w:val="0"/>
          <w:color w:val="000000"/>
          <w:sz w:val="22"/>
        </w:rPr>
        <w:t>Detection rate alone is a misleading metric. Temporal Z-Score achieved 100% detection in our analysis—and was simultaneously the worst-performing algorithm because it flagged every user. Require vendors to report false positive rates alongside detection rates, and test these metrics against datasets that include normal behavioral drift over months (job changes, project reassignments, seasonal patterns). A solution that achieves high detection only under static conditions will fail in production.</w:t>
      </w:r>
    </w:p>
    <w:p>
      <w:pPr>
        <w:pStyle w:val="Heading2"/>
        <w:spacing w:before="240" w:after="160"/>
      </w:pPr>
      <w:r>
        <w:rPr>
          <w:rFonts w:ascii="Calibri" w:hAnsi="Calibri"/>
          <w:color w:val="0D1B2A"/>
        </w:rPr>
        <w:t>Recommendation 4: Conduct a 4-Week Proof of Concept on Real Data</w:t>
      </w:r>
    </w:p>
    <w:p>
      <w:pPr>
        <w:spacing w:after="120" w:before="0" w:line="280" w:lineRule="exact"/>
      </w:pPr>
      <w:r>
        <w:rPr>
          <w:rFonts w:ascii="Calibri" w:hAnsi="Calibri"/>
          <w:b w:val="0"/>
          <w:color w:val="000000"/>
          <w:sz w:val="22"/>
        </w:rPr>
        <w:t>We recommend a structured proof of concept on real agency telemetry data over a minimum of 4 weeks. This PoC should include:</w:t>
      </w:r>
    </w:p>
    <w:p>
      <w:pPr>
        <w:pStyle w:val="ListBullet"/>
        <w:spacing w:after="60" w:before="0"/>
      </w:pPr>
      <w:r>
        <w:rPr>
          <w:rFonts w:ascii="Calibri" w:hAnsi="Calibri"/>
          <w:sz w:val="22"/>
        </w:rPr>
        <w:t>Ingestion of actual authentication, file access, network, endpoint, DNS, and cloud logs from the agency's SIEM or data lake.</w:t>
      </w:r>
    </w:p>
    <w:p>
      <w:pPr>
        <w:pStyle w:val="ListBullet"/>
        <w:spacing w:after="60" w:before="0"/>
      </w:pPr>
      <w:r>
        <w:rPr>
          <w:rFonts w:ascii="Calibri" w:hAnsi="Calibri"/>
          <w:sz w:val="22"/>
        </w:rPr>
        <w:t>Baseline establishment during weeks 1-2 with no injected attacks.</w:t>
      </w:r>
    </w:p>
    <w:p>
      <w:pPr>
        <w:pStyle w:val="ListBullet"/>
        <w:spacing w:after="60" w:before="0"/>
      </w:pPr>
      <w:r>
        <w:rPr>
          <w:rFonts w:ascii="Calibri" w:hAnsi="Calibri"/>
          <w:sz w:val="22"/>
        </w:rPr>
        <w:t>Controlled injection of slow-attack telemetry patterns during weeks 3-4, mimicking the ATK-003 (APT), ATK-004 (Insider), ATK-007 (Volt Typhoon LOTL), and ATK-008 (Salt Typhoon Telecom) scenarios from this analysis.</w:t>
      </w:r>
    </w:p>
    <w:p>
      <w:pPr>
        <w:pStyle w:val="ListBullet"/>
        <w:spacing w:after="60" w:before="0"/>
      </w:pPr>
      <w:r>
        <w:rPr>
          <w:rFonts w:ascii="Calibri" w:hAnsi="Calibri"/>
          <w:sz w:val="22"/>
        </w:rPr>
        <w:t>Measurement of detection latency (how quickly the system identifies drift), false positive rate (how many normal users are flagged), and threat classification accuracy (does the system correctly identify the type of threat).</w:t>
      </w:r>
    </w:p>
    <w:p>
      <w:pPr>
        <w:pStyle w:val="ListBullet"/>
        <w:spacing w:after="60" w:before="0"/>
      </w:pPr>
      <w:r>
        <w:rPr>
          <w:rFonts w:ascii="Calibri" w:hAnsi="Calibri"/>
          <w:sz w:val="22"/>
        </w:rPr>
        <w:t>Comparison against the agency's existing SIEM rules and any incumbent UEBA solution on the same controlled dataset.</w:t>
      </w:r>
    </w:p>
    <w:p>
      <w:pPr>
        <w:spacing w:after="120" w:before="0" w:line="280" w:lineRule="exact"/>
      </w:pPr>
      <w:r>
        <w:rPr>
          <w:rFonts w:ascii="Calibri" w:hAnsi="Calibri"/>
          <w:b w:val="0"/>
          <w:color w:val="000000"/>
          <w:sz w:val="22"/>
        </w:rPr>
        <w:t>This proof of concept design ensures that evaluation is based on demonstrated capability against realistic threat scenarios, not vendor claims or synthetic benchmarks alone.</w:t>
      </w:r>
    </w:p>
    <w:p>
      <w:r>
        <w:br w:type="page"/>
      </w:r>
    </w:p>
    <w:p>
      <w:pPr>
        <w:pStyle w:val="Heading1"/>
        <w:spacing w:before="360" w:after="160"/>
      </w:pPr>
      <w:r>
        <w:rPr>
          <w:rFonts w:ascii="Calibri" w:hAnsi="Calibri"/>
          <w:color w:val="0D1B2A"/>
        </w:rPr>
        <w:t>Appendices</w:t>
      </w:r>
    </w:p>
    <w:p>
      <w:pPr>
        <w:pStyle w:val="Heading2"/>
        <w:spacing w:before="240" w:after="160"/>
      </w:pPr>
      <w:r>
        <w:rPr>
          <w:rFonts w:ascii="Calibri" w:hAnsi="Calibri"/>
          <w:color w:val="0D1B2A"/>
        </w:rPr>
        <w:t>Appendix A: Complete Feature List</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3120"/>
        <w:gridCol w:w="3120"/>
        <w:gridCol w:w="3120"/>
      </w:tblGrid>
      <w:tr>
        <w:tc>
          <w:tcPr>
            <w:tcW w:type="dxa" w:w="2880"/>
            <w:shd w:fill="0D1B2A" w:val="clear"/>
          </w:tcPr>
          <w:p>
            <w:pPr>
              <w:jc w:val="center"/>
            </w:pPr>
            <w:r/>
            <w:r>
              <w:rPr>
                <w:rFonts w:ascii="Calibri" w:hAnsi="Calibri"/>
                <w:b/>
                <w:color w:val="FFFFFF"/>
                <w:sz w:val="20"/>
              </w:rPr>
              <w:t>Feature Name</w:t>
            </w:r>
          </w:p>
        </w:tc>
        <w:tc>
          <w:tcPr>
            <w:tcW w:type="dxa" w:w="1728"/>
            <w:shd w:fill="0D1B2A" w:val="clear"/>
          </w:tcPr>
          <w:p>
            <w:pPr>
              <w:jc w:val="center"/>
            </w:pPr>
            <w:r/>
            <w:r>
              <w:rPr>
                <w:rFonts w:ascii="Calibri" w:hAnsi="Calibri"/>
                <w:b/>
                <w:color w:val="FFFFFF"/>
                <w:sz w:val="20"/>
              </w:rPr>
              <w:t>Category</w:t>
            </w:r>
          </w:p>
        </w:tc>
        <w:tc>
          <w:tcPr>
            <w:tcW w:type="dxa" w:w="5040"/>
            <w:shd w:fill="0D1B2A" w:val="clear"/>
          </w:tcPr>
          <w:p>
            <w:pPr>
              <w:jc w:val="center"/>
            </w:pPr>
            <w:r/>
            <w:r>
              <w:rPr>
                <w:rFonts w:ascii="Calibri" w:hAnsi="Calibri"/>
                <w:b/>
                <w:color w:val="FFFFFF"/>
                <w:sz w:val="20"/>
              </w:rPr>
              <w:t>Description</w:t>
            </w:r>
          </w:p>
        </w:tc>
      </w:tr>
      <w:tr>
        <w:tc>
          <w:tcPr>
            <w:tcW w:type="dxa" w:w="2880"/>
          </w:tcPr>
          <w:p>
            <w:pPr>
              <w:jc w:val="center"/>
            </w:pPr>
            <w:r/>
            <w:r>
              <w:rPr>
                <w:rFonts w:ascii="Calibri" w:hAnsi="Calibri"/>
                <w:sz w:val="20"/>
              </w:rPr>
              <w:t>auth_total</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Total authentication events per week</w:t>
            </w:r>
          </w:p>
        </w:tc>
      </w:tr>
      <w:tr>
        <w:tc>
          <w:tcPr>
            <w:tcW w:type="dxa" w:w="2880"/>
            <w:shd w:fill="EAF0F6" w:val="clear"/>
          </w:tcPr>
          <w:p>
            <w:pPr>
              <w:jc w:val="center"/>
            </w:pPr>
            <w:r/>
            <w:r>
              <w:rPr>
                <w:rFonts w:ascii="Calibri" w:hAnsi="Calibri"/>
                <w:sz w:val="20"/>
              </w:rPr>
              <w:t>auth_failed</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Count of failed authentication attempts</w:t>
            </w:r>
          </w:p>
        </w:tc>
      </w:tr>
      <w:tr>
        <w:tc>
          <w:tcPr>
            <w:tcW w:type="dxa" w:w="2880"/>
          </w:tcPr>
          <w:p>
            <w:pPr>
              <w:jc w:val="center"/>
            </w:pPr>
            <w:r/>
            <w:r>
              <w:rPr>
                <w:rFonts w:ascii="Calibri" w:hAnsi="Calibri"/>
                <w:sz w:val="20"/>
              </w:rPr>
              <w:t>auth_fail_rate</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Ratio of failed to total authentication events</w:t>
            </w:r>
          </w:p>
        </w:tc>
      </w:tr>
      <w:tr>
        <w:tc>
          <w:tcPr>
            <w:tcW w:type="dxa" w:w="2880"/>
            <w:shd w:fill="EAF0F6" w:val="clear"/>
          </w:tcPr>
          <w:p>
            <w:pPr>
              <w:jc w:val="center"/>
            </w:pPr>
            <w:r/>
            <w:r>
              <w:rPr>
                <w:rFonts w:ascii="Calibri" w:hAnsi="Calibri"/>
                <w:sz w:val="20"/>
              </w:rPr>
              <w:t>auth_unique_sources</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Number of distinct source systems for login</w:t>
            </w:r>
          </w:p>
        </w:tc>
      </w:tr>
      <w:tr>
        <w:tc>
          <w:tcPr>
            <w:tcW w:type="dxa" w:w="2880"/>
          </w:tcPr>
          <w:p>
            <w:pPr>
              <w:jc w:val="center"/>
            </w:pPr>
            <w:r/>
            <w:r>
              <w:rPr>
                <w:rFonts w:ascii="Calibri" w:hAnsi="Calibri"/>
                <w:sz w:val="20"/>
              </w:rPr>
              <w:t>auth_unique_dests</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Number of distinct destination systems accessed</w:t>
            </w:r>
          </w:p>
        </w:tc>
      </w:tr>
      <w:tr>
        <w:tc>
          <w:tcPr>
            <w:tcW w:type="dxa" w:w="2880"/>
            <w:shd w:fill="EAF0F6" w:val="clear"/>
          </w:tcPr>
          <w:p>
            <w:pPr>
              <w:jc w:val="center"/>
            </w:pPr>
            <w:r/>
            <w:r>
              <w:rPr>
                <w:rFonts w:ascii="Calibri" w:hAnsi="Calibri"/>
                <w:sz w:val="20"/>
              </w:rPr>
              <w:t>auth_off_hours_ratio</w:t>
            </w:r>
          </w:p>
        </w:tc>
        <w:tc>
          <w:tcPr>
            <w:tcW w:type="dxa" w:w="1728"/>
            <w:shd w:fill="EAF0F6" w:val="clear"/>
          </w:tcPr>
          <w:p>
            <w:pPr>
              <w:jc w:val="center"/>
            </w:pPr>
            <w:r/>
            <w:r>
              <w:rPr>
                <w:rFonts w:ascii="Calibri" w:hAnsi="Calibri"/>
                <w:sz w:val="20"/>
              </w:rPr>
              <w:t>Authentication</w:t>
            </w:r>
          </w:p>
        </w:tc>
        <w:tc>
          <w:tcPr>
            <w:tcW w:type="dxa" w:w="5040"/>
            <w:shd w:fill="EAF0F6" w:val="clear"/>
          </w:tcPr>
          <w:p>
            <w:pPr>
              <w:jc w:val="center"/>
            </w:pPr>
            <w:r/>
            <w:r>
              <w:rPr>
                <w:rFonts w:ascii="Calibri" w:hAnsi="Calibri"/>
                <w:sz w:val="20"/>
              </w:rPr>
              <w:t>Proportion of events outside business hours</w:t>
            </w:r>
          </w:p>
        </w:tc>
      </w:tr>
      <w:tr>
        <w:tc>
          <w:tcPr>
            <w:tcW w:type="dxa" w:w="2880"/>
          </w:tcPr>
          <w:p>
            <w:pPr>
              <w:jc w:val="center"/>
            </w:pPr>
            <w:r/>
            <w:r>
              <w:rPr>
                <w:rFonts w:ascii="Calibri" w:hAnsi="Calibri"/>
                <w:sz w:val="20"/>
              </w:rPr>
              <w:t>auth_methods_used</w:t>
            </w:r>
          </w:p>
        </w:tc>
        <w:tc>
          <w:tcPr>
            <w:tcW w:type="dxa" w:w="1728"/>
          </w:tcPr>
          <w:p>
            <w:pPr>
              <w:jc w:val="center"/>
            </w:pPr>
            <w:r/>
            <w:r>
              <w:rPr>
                <w:rFonts w:ascii="Calibri" w:hAnsi="Calibri"/>
                <w:sz w:val="20"/>
              </w:rPr>
              <w:t>Authentication</w:t>
            </w:r>
          </w:p>
        </w:tc>
        <w:tc>
          <w:tcPr>
            <w:tcW w:type="dxa" w:w="5040"/>
          </w:tcPr>
          <w:p>
            <w:pPr>
              <w:jc w:val="center"/>
            </w:pPr>
            <w:r/>
            <w:r>
              <w:rPr>
                <w:rFonts w:ascii="Calibri" w:hAnsi="Calibri"/>
                <w:sz w:val="20"/>
              </w:rPr>
              <w:t>Count of distinct authentication methods used</w:t>
            </w:r>
          </w:p>
        </w:tc>
      </w:tr>
      <w:tr>
        <w:tc>
          <w:tcPr>
            <w:tcW w:type="dxa" w:w="2880"/>
            <w:shd w:fill="EAF0F6" w:val="clear"/>
          </w:tcPr>
          <w:p>
            <w:pPr>
              <w:jc w:val="center"/>
            </w:pPr>
            <w:r/>
            <w:r>
              <w:rPr>
                <w:rFonts w:ascii="Calibri" w:hAnsi="Calibri"/>
                <w:sz w:val="20"/>
              </w:rPr>
              <w:t>file_total</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Total file access events per week</w:t>
            </w:r>
          </w:p>
        </w:tc>
      </w:tr>
      <w:tr>
        <w:tc>
          <w:tcPr>
            <w:tcW w:type="dxa" w:w="2880"/>
          </w:tcPr>
          <w:p>
            <w:pPr>
              <w:jc w:val="center"/>
            </w:pPr>
            <w:r/>
            <w:r>
              <w:rPr>
                <w:rFonts w:ascii="Calibri" w:hAnsi="Calibri"/>
                <w:sz w:val="20"/>
              </w:rPr>
              <w:t>file_unique_paths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Number of distinct file paths accessed</w:t>
            </w:r>
          </w:p>
        </w:tc>
      </w:tr>
      <w:tr>
        <w:tc>
          <w:tcPr>
            <w:tcW w:type="dxa" w:w="2880"/>
            <w:shd w:fill="EAF0F6" w:val="clear"/>
          </w:tcPr>
          <w:p>
            <w:pPr>
              <w:jc w:val="center"/>
            </w:pPr>
            <w:r/>
            <w:r>
              <w:rPr>
                <w:rFonts w:ascii="Calibri" w:hAnsi="Calibri"/>
                <w:sz w:val="20"/>
              </w:rPr>
              <w:t>file_restricted_ratio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accesses to restricted files</w:t>
            </w:r>
          </w:p>
        </w:tc>
      </w:tr>
      <w:tr>
        <w:tc>
          <w:tcPr>
            <w:tcW w:type="dxa" w:w="2880"/>
          </w:tcPr>
          <w:p>
            <w:pPr>
              <w:jc w:val="center"/>
            </w:pPr>
            <w:r/>
            <w:r>
              <w:rPr>
                <w:rFonts w:ascii="Calibri" w:hAnsi="Calibri"/>
                <w:sz w:val="20"/>
              </w:rPr>
              <w:t>file_confidential_ratio</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Proportion of accesses to confidential files</w:t>
            </w:r>
          </w:p>
        </w:tc>
      </w:tr>
      <w:tr>
        <w:tc>
          <w:tcPr>
            <w:tcW w:type="dxa" w:w="2880"/>
            <w:shd w:fill="EAF0F6" w:val="clear"/>
          </w:tcPr>
          <w:p>
            <w:pPr>
              <w:jc w:val="center"/>
            </w:pPr>
            <w:r/>
            <w:r>
              <w:rPr>
                <w:rFonts w:ascii="Calibri" w:hAnsi="Calibri"/>
                <w:sz w:val="20"/>
              </w:rPr>
              <w:t>file_write_ratio</w:t>
            </w:r>
          </w:p>
        </w:tc>
        <w:tc>
          <w:tcPr>
            <w:tcW w:type="dxa" w:w="1728"/>
            <w:shd w:fill="EAF0F6" w:val="clear"/>
          </w:tcPr>
          <w:p>
            <w:pPr>
              <w:jc w:val="center"/>
            </w:pPr>
            <w:r/>
            <w:r>
              <w:rPr>
                <w:rFonts w:ascii="Calibri" w:hAnsi="Calibri"/>
                <w:sz w:val="20"/>
              </w:rPr>
              <w:t>File Access</w:t>
            </w:r>
          </w:p>
        </w:tc>
        <w:tc>
          <w:tcPr>
            <w:tcW w:type="dxa" w:w="5040"/>
            <w:shd w:fill="EAF0F6" w:val="clear"/>
          </w:tcPr>
          <w:p>
            <w:pPr>
              <w:jc w:val="center"/>
            </w:pPr>
            <w:r/>
            <w:r>
              <w:rPr>
                <w:rFonts w:ascii="Calibri" w:hAnsi="Calibri"/>
                <w:sz w:val="20"/>
              </w:rPr>
              <w:t>Proportion of write operations vs. reads</w:t>
            </w:r>
          </w:p>
        </w:tc>
      </w:tr>
      <w:tr>
        <w:tc>
          <w:tcPr>
            <w:tcW w:type="dxa" w:w="2880"/>
          </w:tcPr>
          <w:p>
            <w:pPr>
              <w:jc w:val="center"/>
            </w:pPr>
            <w:r/>
            <w:r>
              <w:rPr>
                <w:rFonts w:ascii="Calibri" w:hAnsi="Calibri"/>
                <w:sz w:val="20"/>
              </w:rPr>
              <w:t>file_total_bytes</w:t>
            </w:r>
          </w:p>
        </w:tc>
        <w:tc>
          <w:tcPr>
            <w:tcW w:type="dxa" w:w="1728"/>
          </w:tcPr>
          <w:p>
            <w:pPr>
              <w:jc w:val="center"/>
            </w:pPr>
            <w:r/>
            <w:r>
              <w:rPr>
                <w:rFonts w:ascii="Calibri" w:hAnsi="Calibri"/>
                <w:sz w:val="20"/>
              </w:rPr>
              <w:t>File Access</w:t>
            </w:r>
          </w:p>
        </w:tc>
        <w:tc>
          <w:tcPr>
            <w:tcW w:type="dxa" w:w="5040"/>
          </w:tcPr>
          <w:p>
            <w:pPr>
              <w:jc w:val="center"/>
            </w:pPr>
            <w:r/>
            <w:r>
              <w:rPr>
                <w:rFonts w:ascii="Calibri" w:hAnsi="Calibri"/>
                <w:sz w:val="20"/>
              </w:rPr>
              <w:t>Total bytes transferred through file operations</w:t>
            </w:r>
          </w:p>
        </w:tc>
      </w:tr>
      <w:tr>
        <w:tc>
          <w:tcPr>
            <w:tcW w:type="dxa" w:w="2880"/>
            <w:shd w:fill="EAF0F6" w:val="clear"/>
          </w:tcPr>
          <w:p>
            <w:pPr>
              <w:jc w:val="center"/>
            </w:pPr>
            <w:r/>
            <w:r>
              <w:rPr>
                <w:rFonts w:ascii="Calibri" w:hAnsi="Calibri"/>
                <w:sz w:val="20"/>
              </w:rPr>
              <w:t>endpoint_total</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Total endpoint events (process executions)</w:t>
            </w:r>
          </w:p>
        </w:tc>
      </w:tr>
      <w:tr>
        <w:tc>
          <w:tcPr>
            <w:tcW w:type="dxa" w:w="2880"/>
          </w:tcPr>
          <w:p>
            <w:pPr>
              <w:jc w:val="center"/>
            </w:pPr>
            <w:r/>
            <w:r>
              <w:rPr>
                <w:rFonts w:ascii="Calibri" w:hAnsi="Calibri"/>
                <w:sz w:val="20"/>
              </w:rPr>
              <w:t>endpoint_suspicious_ratio</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Proportion of events flagged as suspicious</w:t>
            </w:r>
          </w:p>
        </w:tc>
      </w:tr>
      <w:tr>
        <w:tc>
          <w:tcPr>
            <w:tcW w:type="dxa" w:w="2880"/>
            <w:shd w:fill="EAF0F6" w:val="clear"/>
          </w:tcPr>
          <w:p>
            <w:pPr>
              <w:jc w:val="center"/>
            </w:pPr>
            <w:r/>
            <w:r>
              <w:rPr>
                <w:rFonts w:ascii="Calibri" w:hAnsi="Calibri"/>
                <w:sz w:val="20"/>
              </w:rPr>
              <w:t>endpoint_max_risk</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Maximum risk score across endpoint events</w:t>
            </w:r>
          </w:p>
        </w:tc>
      </w:tr>
      <w:tr>
        <w:tc>
          <w:tcPr>
            <w:tcW w:type="dxa" w:w="2880"/>
          </w:tcPr>
          <w:p>
            <w:pPr>
              <w:jc w:val="center"/>
            </w:pPr>
            <w:r/>
            <w:r>
              <w:rPr>
                <w:rFonts w:ascii="Calibri" w:hAnsi="Calibri"/>
                <w:sz w:val="20"/>
              </w:rPr>
              <w:t>endpoint_mean_risk</w:t>
            </w:r>
          </w:p>
        </w:tc>
        <w:tc>
          <w:tcPr>
            <w:tcW w:type="dxa" w:w="1728"/>
          </w:tcPr>
          <w:p>
            <w:pPr>
              <w:jc w:val="center"/>
            </w:pPr>
            <w:r/>
            <w:r>
              <w:rPr>
                <w:rFonts w:ascii="Calibri" w:hAnsi="Calibri"/>
                <w:sz w:val="20"/>
              </w:rPr>
              <w:t>Endpoint</w:t>
            </w:r>
          </w:p>
        </w:tc>
        <w:tc>
          <w:tcPr>
            <w:tcW w:type="dxa" w:w="5040"/>
          </w:tcPr>
          <w:p>
            <w:pPr>
              <w:jc w:val="center"/>
            </w:pPr>
            <w:r/>
            <w:r>
              <w:rPr>
                <w:rFonts w:ascii="Calibri" w:hAnsi="Calibri"/>
                <w:sz w:val="20"/>
              </w:rPr>
              <w:t>Average risk score across endpoint events</w:t>
            </w:r>
          </w:p>
        </w:tc>
      </w:tr>
      <w:tr>
        <w:tc>
          <w:tcPr>
            <w:tcW w:type="dxa" w:w="2880"/>
            <w:shd w:fill="EAF0F6" w:val="clear"/>
          </w:tcPr>
          <w:p>
            <w:pPr>
              <w:jc w:val="center"/>
            </w:pPr>
            <w:r/>
            <w:r>
              <w:rPr>
                <w:rFonts w:ascii="Calibri" w:hAnsi="Calibri"/>
                <w:sz w:val="20"/>
              </w:rPr>
              <w:t>endpoint_unique_processes</w:t>
            </w:r>
          </w:p>
        </w:tc>
        <w:tc>
          <w:tcPr>
            <w:tcW w:type="dxa" w:w="1728"/>
            <w:shd w:fill="EAF0F6" w:val="clear"/>
          </w:tcPr>
          <w:p>
            <w:pPr>
              <w:jc w:val="center"/>
            </w:pPr>
            <w:r/>
            <w:r>
              <w:rPr>
                <w:rFonts w:ascii="Calibri" w:hAnsi="Calibri"/>
                <w:sz w:val="20"/>
              </w:rPr>
              <w:t>Endpoint</w:t>
            </w:r>
          </w:p>
        </w:tc>
        <w:tc>
          <w:tcPr>
            <w:tcW w:type="dxa" w:w="5040"/>
            <w:shd w:fill="EAF0F6" w:val="clear"/>
          </w:tcPr>
          <w:p>
            <w:pPr>
              <w:jc w:val="center"/>
            </w:pPr>
            <w:r/>
            <w:r>
              <w:rPr>
                <w:rFonts w:ascii="Calibri" w:hAnsi="Calibri"/>
                <w:sz w:val="20"/>
              </w:rPr>
              <w:t>Count of distinct processes executed</w:t>
            </w:r>
          </w:p>
        </w:tc>
      </w:tr>
      <w:tr>
        <w:tc>
          <w:tcPr>
            <w:tcW w:type="dxa" w:w="2880"/>
          </w:tcPr>
          <w:p>
            <w:pPr>
              <w:jc w:val="center"/>
            </w:pPr>
            <w:r/>
            <w:r>
              <w:rPr>
                <w:rFonts w:ascii="Calibri" w:hAnsi="Calibri"/>
                <w:sz w:val="20"/>
              </w:rPr>
              <w:t>net_bytes_out</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Total outbound bytes transferred</w:t>
            </w:r>
          </w:p>
        </w:tc>
      </w:tr>
      <w:tr>
        <w:tc>
          <w:tcPr>
            <w:tcW w:type="dxa" w:w="2880"/>
            <w:shd w:fill="EAF0F6" w:val="clear"/>
          </w:tcPr>
          <w:p>
            <w:pPr>
              <w:jc w:val="center"/>
            </w:pPr>
            <w:r/>
            <w:r>
              <w:rPr>
                <w:rFonts w:ascii="Calibri" w:hAnsi="Calibri"/>
                <w:sz w:val="20"/>
              </w:rPr>
              <w:t>net_unique_dsts</w:t>
            </w:r>
          </w:p>
        </w:tc>
        <w:tc>
          <w:tcPr>
            <w:tcW w:type="dxa" w:w="1728"/>
            <w:shd w:fill="EAF0F6" w:val="clear"/>
          </w:tcPr>
          <w:p>
            <w:pPr>
              <w:jc w:val="center"/>
            </w:pPr>
            <w:r/>
            <w:r>
              <w:rPr>
                <w:rFonts w:ascii="Calibri" w:hAnsi="Calibri"/>
                <w:sz w:val="20"/>
              </w:rPr>
              <w:t>Network</w:t>
            </w:r>
          </w:p>
        </w:tc>
        <w:tc>
          <w:tcPr>
            <w:tcW w:type="dxa" w:w="5040"/>
            <w:shd w:fill="EAF0F6" w:val="clear"/>
          </w:tcPr>
          <w:p>
            <w:pPr>
              <w:jc w:val="center"/>
            </w:pPr>
            <w:r/>
            <w:r>
              <w:rPr>
                <w:rFonts w:ascii="Calibri" w:hAnsi="Calibri"/>
                <w:sz w:val="20"/>
              </w:rPr>
              <w:t>Number of unique destination addresses contacted</w:t>
            </w:r>
          </w:p>
        </w:tc>
      </w:tr>
      <w:tr>
        <w:tc>
          <w:tcPr>
            <w:tcW w:type="dxa" w:w="2880"/>
          </w:tcPr>
          <w:p>
            <w:pPr>
              <w:jc w:val="center"/>
            </w:pPr>
            <w:r/>
            <w:r>
              <w:rPr>
                <w:rFonts w:ascii="Calibri" w:hAnsi="Calibri"/>
                <w:sz w:val="20"/>
              </w:rPr>
              <w:t>net_external_ratio</w:t>
            </w:r>
          </w:p>
        </w:tc>
        <w:tc>
          <w:tcPr>
            <w:tcW w:type="dxa" w:w="1728"/>
          </w:tcPr>
          <w:p>
            <w:pPr>
              <w:jc w:val="center"/>
            </w:pPr>
            <w:r/>
            <w:r>
              <w:rPr>
                <w:rFonts w:ascii="Calibri" w:hAnsi="Calibri"/>
                <w:sz w:val="20"/>
              </w:rPr>
              <w:t>Network</w:t>
            </w:r>
          </w:p>
        </w:tc>
        <w:tc>
          <w:tcPr>
            <w:tcW w:type="dxa" w:w="5040"/>
          </w:tcPr>
          <w:p>
            <w:pPr>
              <w:jc w:val="center"/>
            </w:pPr>
            <w:r/>
            <w:r>
              <w:rPr>
                <w:rFonts w:ascii="Calibri" w:hAnsi="Calibri"/>
                <w:sz w:val="20"/>
              </w:rPr>
              <w:t>Proportion of connections to external addresses</w:t>
            </w:r>
          </w:p>
        </w:tc>
      </w:tr>
      <w:tr>
        <w:tc>
          <w:tcPr>
            <w:tcW w:type="dxa" w:w="2880"/>
            <w:shd w:fill="EAF0F6" w:val="clear"/>
          </w:tcPr>
          <w:p>
            <w:pPr>
              <w:jc w:val="center"/>
            </w:pPr>
            <w:r/>
            <w:r>
              <w:rPr>
                <w:rFonts w:ascii="Calibri" w:hAnsi="Calibri"/>
                <w:sz w:val="20"/>
              </w:rPr>
              <w:t>dns_unique_domains</w:t>
            </w:r>
          </w:p>
        </w:tc>
        <w:tc>
          <w:tcPr>
            <w:tcW w:type="dxa" w:w="1728"/>
            <w:shd w:fill="EAF0F6" w:val="clear"/>
          </w:tcPr>
          <w:p>
            <w:pPr>
              <w:jc w:val="center"/>
            </w:pPr>
            <w:r/>
            <w:r>
              <w:rPr>
                <w:rFonts w:ascii="Calibri" w:hAnsi="Calibri"/>
                <w:sz w:val="20"/>
              </w:rPr>
              <w:t>DNS</w:t>
            </w:r>
          </w:p>
        </w:tc>
        <w:tc>
          <w:tcPr>
            <w:tcW w:type="dxa" w:w="5040"/>
            <w:shd w:fill="EAF0F6" w:val="clear"/>
          </w:tcPr>
          <w:p>
            <w:pPr>
              <w:jc w:val="center"/>
            </w:pPr>
            <w:r/>
            <w:r>
              <w:rPr>
                <w:rFonts w:ascii="Calibri" w:hAnsi="Calibri"/>
                <w:sz w:val="20"/>
              </w:rPr>
              <w:t>Count of unique domains queried</w:t>
            </w:r>
          </w:p>
        </w:tc>
      </w:tr>
      <w:tr>
        <w:tc>
          <w:tcPr>
            <w:tcW w:type="dxa" w:w="2880"/>
          </w:tcPr>
          <w:p>
            <w:pPr>
              <w:jc w:val="center"/>
            </w:pPr>
            <w:r/>
            <w:r>
              <w:rPr>
                <w:rFonts w:ascii="Calibri" w:hAnsi="Calibri"/>
                <w:sz w:val="20"/>
              </w:rPr>
              <w:t>dns_nxdomain_ratio</w:t>
            </w:r>
          </w:p>
        </w:tc>
        <w:tc>
          <w:tcPr>
            <w:tcW w:type="dxa" w:w="1728"/>
          </w:tcPr>
          <w:p>
            <w:pPr>
              <w:jc w:val="center"/>
            </w:pPr>
            <w:r/>
            <w:r>
              <w:rPr>
                <w:rFonts w:ascii="Calibri" w:hAnsi="Calibri"/>
                <w:sz w:val="20"/>
              </w:rPr>
              <w:t>DNS</w:t>
            </w:r>
          </w:p>
        </w:tc>
        <w:tc>
          <w:tcPr>
            <w:tcW w:type="dxa" w:w="5040"/>
          </w:tcPr>
          <w:p>
            <w:pPr>
              <w:jc w:val="center"/>
            </w:pPr>
            <w:r/>
            <w:r>
              <w:rPr>
                <w:rFonts w:ascii="Calibri" w:hAnsi="Calibri"/>
                <w:sz w:val="20"/>
              </w:rPr>
              <w:t>Proportion of NXDOMAIN responses (DGA indicator)</w:t>
            </w:r>
          </w:p>
        </w:tc>
      </w:tr>
    </w:tbl>
    <w:p>
      <w:r>
        <w:br w:type="page"/>
      </w:r>
    </w:p>
    <w:p>
      <w:pPr>
        <w:pStyle w:val="Heading2"/>
        <w:spacing w:before="240" w:after="160"/>
      </w:pPr>
      <w:r>
        <w:rPr>
          <w:rFonts w:ascii="Calibri" w:hAnsi="Calibri"/>
          <w:color w:val="0D1B2A"/>
        </w:rPr>
        <w:t>Appendix B: Attack Scenario Details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1560"/>
        <w:gridCol w:w="1560"/>
        <w:gridCol w:w="1560"/>
        <w:gridCol w:w="1560"/>
        <w:gridCol w:w="1560"/>
        <w:gridCol w:w="1560"/>
      </w:tblGrid>
      <w:tr>
        <w:tc>
          <w:tcPr>
            <w:tcW w:type="dxa" w:w="864"/>
            <w:shd w:fill="0D1B2A" w:val="clear"/>
          </w:tcPr>
          <w:p>
            <w:pPr>
              <w:jc w:val="center"/>
            </w:pPr>
            <w:r/>
            <w:r>
              <w:rPr>
                <w:rFonts w:ascii="Calibri" w:hAnsi="Calibri"/>
                <w:b/>
                <w:color w:val="FFFFFF"/>
                <w:sz w:val="20"/>
              </w:rPr>
              <w:t>ID</w:t>
            </w:r>
          </w:p>
        </w:tc>
        <w:tc>
          <w:tcPr>
            <w:tcW w:type="dxa" w:w="1440"/>
            <w:shd w:fill="0D1B2A" w:val="clear"/>
          </w:tcPr>
          <w:p>
            <w:pPr>
              <w:jc w:val="center"/>
            </w:pPr>
            <w:r/>
            <w:r>
              <w:rPr>
                <w:rFonts w:ascii="Calibri" w:hAnsi="Calibri"/>
                <w:b/>
                <w:color w:val="FFFFFF"/>
                <w:sz w:val="20"/>
              </w:rPr>
              <w:t>Type</w:t>
            </w:r>
          </w:p>
        </w:tc>
        <w:tc>
          <w:tcPr>
            <w:tcW w:type="dxa" w:w="1008"/>
            <w:shd w:fill="0D1B2A" w:val="clear"/>
          </w:tcPr>
          <w:p>
            <w:pPr>
              <w:jc w:val="center"/>
            </w:pPr>
            <w:r/>
            <w:r>
              <w:rPr>
                <w:rFonts w:ascii="Calibri" w:hAnsi="Calibri"/>
                <w:b/>
                <w:color w:val="FFFFFF"/>
                <w:sz w:val="20"/>
              </w:rPr>
              <w:t>Target</w:t>
            </w:r>
          </w:p>
        </w:tc>
        <w:tc>
          <w:tcPr>
            <w:tcW w:type="dxa" w:w="1008"/>
            <w:shd w:fill="0D1B2A" w:val="clear"/>
          </w:tcPr>
          <w:p>
            <w:pPr>
              <w:jc w:val="center"/>
            </w:pPr>
            <w:r/>
            <w:r>
              <w:rPr>
                <w:rFonts w:ascii="Calibri" w:hAnsi="Calibri"/>
                <w:b/>
                <w:color w:val="FFFFFF"/>
                <w:sz w:val="20"/>
              </w:rPr>
              <w:t>Duration</w:t>
            </w:r>
          </w:p>
        </w:tc>
        <w:tc>
          <w:tcPr>
            <w:tcW w:type="dxa" w:w="3168"/>
            <w:shd w:fill="0D1B2A" w:val="clear"/>
          </w:tcPr>
          <w:p>
            <w:pPr>
              <w:jc w:val="center"/>
            </w:pPr>
            <w:r/>
            <w:r>
              <w:rPr>
                <w:rFonts w:ascii="Calibri" w:hAnsi="Calibri"/>
                <w:b/>
                <w:color w:val="FFFFFF"/>
                <w:sz w:val="20"/>
              </w:rPr>
              <w:t>Description</w:t>
            </w:r>
          </w:p>
        </w:tc>
        <w:tc>
          <w:tcPr>
            <w:tcW w:type="dxa" w:w="2160"/>
            <w:shd w:fill="0D1B2A" w:val="clear"/>
          </w:tcPr>
          <w:p>
            <w:pPr>
              <w:jc w:val="center"/>
            </w:pPr>
            <w:r/>
            <w:r>
              <w:rPr>
                <w:rFonts w:ascii="Calibri" w:hAnsi="Calibri"/>
                <w:b/>
                <w:color w:val="FFFFFF"/>
                <w:sz w:val="20"/>
              </w:rPr>
              <w:t>MITRE Techniques</w:t>
            </w:r>
          </w:p>
        </w:tc>
      </w:tr>
      <w:tr>
        <w:tc>
          <w:tcPr>
            <w:tcW w:type="dxa" w:w="864"/>
          </w:tcPr>
          <w:p>
            <w:pPr>
              <w:jc w:val="center"/>
            </w:pPr>
            <w:r/>
            <w:r>
              <w:rPr>
                <w:rFonts w:ascii="Calibri" w:hAnsi="Calibri"/>
                <w:sz w:val="20"/>
              </w:rPr>
              <w:t>ATK-001</w:t>
            </w:r>
          </w:p>
        </w:tc>
        <w:tc>
          <w:tcPr>
            <w:tcW w:type="dxa" w:w="1440"/>
          </w:tcPr>
          <w:p>
            <w:pPr>
              <w:jc w:val="center"/>
            </w:pPr>
            <w:r/>
            <w:r>
              <w:rPr>
                <w:rFonts w:ascii="Calibri" w:hAnsi="Calibri"/>
                <w:sz w:val="20"/>
              </w:rPr>
              <w:t>Brute Force</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 days</w:t>
            </w:r>
          </w:p>
        </w:tc>
        <w:tc>
          <w:tcPr>
            <w:tcW w:type="dxa" w:w="3168"/>
          </w:tcPr>
          <w:p>
            <w:pPr>
              <w:jc w:val="center"/>
            </w:pPr>
            <w:r/>
            <w:r>
              <w:rPr>
                <w:rFonts w:ascii="Calibri" w:hAnsi="Calibri"/>
                <w:sz w:val="20"/>
              </w:rPr>
              <w:t>High-volume credential stuffing attack with automated tooling</w:t>
            </w:r>
          </w:p>
        </w:tc>
        <w:tc>
          <w:tcPr>
            <w:tcW w:type="dxa" w:w="2160"/>
          </w:tcPr>
          <w:p>
            <w:pPr>
              <w:jc w:val="center"/>
            </w:pPr>
            <w:r/>
            <w:r>
              <w:rPr>
                <w:rFonts w:ascii="Calibri" w:hAnsi="Calibri"/>
                <w:sz w:val="20"/>
              </w:rPr>
              <w:t>T1110</w:t>
            </w:r>
          </w:p>
        </w:tc>
      </w:tr>
      <w:tr>
        <w:tc>
          <w:tcPr>
            <w:tcW w:type="dxa" w:w="864"/>
            <w:shd w:fill="EAF0F6" w:val="clear"/>
          </w:tcPr>
          <w:p>
            <w:pPr>
              <w:jc w:val="center"/>
            </w:pPr>
            <w:r/>
            <w:r>
              <w:rPr>
                <w:rFonts w:ascii="Calibri" w:hAnsi="Calibri"/>
                <w:sz w:val="20"/>
              </w:rPr>
              <w:t>ATK-002</w:t>
            </w:r>
          </w:p>
        </w:tc>
        <w:tc>
          <w:tcPr>
            <w:tcW w:type="dxa" w:w="1440"/>
            <w:shd w:fill="EAF0F6" w:val="clear"/>
          </w:tcPr>
          <w:p>
            <w:pPr>
              <w:jc w:val="center"/>
            </w:pPr>
            <w:r/>
            <w:r>
              <w:rPr>
                <w:rFonts w:ascii="Calibri" w:hAnsi="Calibri"/>
                <w:sz w:val="20"/>
              </w:rPr>
              <w:t>Credential Theft</w:t>
            </w:r>
          </w:p>
        </w:tc>
        <w:tc>
          <w:tcPr>
            <w:tcW w:type="dxa" w:w="1008"/>
            <w:shd w:fill="EAF0F6" w:val="clear"/>
          </w:tcPr>
          <w:p>
            <w:pPr>
              <w:jc w:val="center"/>
            </w:pPr>
            <w:r/>
            <w:r>
              <w:rPr>
                <w:rFonts w:ascii="Calibri" w:hAnsi="Calibri"/>
                <w:sz w:val="20"/>
              </w:rPr>
              <w:t>USR-087</w:t>
            </w:r>
          </w:p>
        </w:tc>
        <w:tc>
          <w:tcPr>
            <w:tcW w:type="dxa" w:w="1008"/>
            <w:shd w:fill="EAF0F6" w:val="clear"/>
          </w:tcPr>
          <w:p>
            <w:pPr>
              <w:jc w:val="center"/>
            </w:pPr>
            <w:r/>
            <w:r>
              <w:rPr>
                <w:rFonts w:ascii="Calibri" w:hAnsi="Calibri"/>
                <w:sz w:val="20"/>
              </w:rPr>
              <w:t>5 days</w:t>
            </w:r>
          </w:p>
        </w:tc>
        <w:tc>
          <w:tcPr>
            <w:tcW w:type="dxa" w:w="3168"/>
            <w:shd w:fill="EAF0F6" w:val="clear"/>
          </w:tcPr>
          <w:p>
            <w:pPr>
              <w:jc w:val="center"/>
            </w:pPr>
            <w:r/>
            <w:r>
              <w:rPr>
                <w:rFonts w:ascii="Calibri" w:hAnsi="Calibri"/>
                <w:sz w:val="20"/>
              </w:rPr>
              <w:t>Phishing, credential theft, lateral movement, exfiltration</w:t>
            </w:r>
          </w:p>
        </w:tc>
        <w:tc>
          <w:tcPr>
            <w:tcW w:type="dxa" w:w="2160"/>
            <w:shd w:fill="EAF0F6" w:val="clear"/>
          </w:tcPr>
          <w:p>
            <w:pPr>
              <w:jc w:val="center"/>
            </w:pPr>
            <w:r/>
            <w:r>
              <w:rPr>
                <w:rFonts w:ascii="Calibri" w:hAnsi="Calibri"/>
                <w:sz w:val="20"/>
              </w:rPr>
              <w:t>T1566, T1078, T1003, T1021, T1074, T1048</w:t>
            </w:r>
          </w:p>
        </w:tc>
      </w:tr>
      <w:tr>
        <w:tc>
          <w:tcPr>
            <w:tcW w:type="dxa" w:w="864"/>
          </w:tcPr>
          <w:p>
            <w:pPr>
              <w:jc w:val="center"/>
            </w:pPr>
            <w:r/>
            <w:r>
              <w:rPr>
                <w:rFonts w:ascii="Calibri" w:hAnsi="Calibri"/>
                <w:sz w:val="20"/>
              </w:rPr>
              <w:t>ATK-003</w:t>
            </w:r>
          </w:p>
        </w:tc>
        <w:tc>
          <w:tcPr>
            <w:tcW w:type="dxa" w:w="1440"/>
          </w:tcPr>
          <w:p>
            <w:pPr>
              <w:jc w:val="center"/>
            </w:pPr>
            <w:r/>
            <w:r>
              <w:rPr>
                <w:rFonts w:ascii="Calibri" w:hAnsi="Calibri"/>
                <w:sz w:val="20"/>
              </w:rPr>
              <w:t>Slow APT / C2</w:t>
            </w:r>
          </w:p>
        </w:tc>
        <w:tc>
          <w:tcPr>
            <w:tcW w:type="dxa" w:w="1008"/>
          </w:tcPr>
          <w:p>
            <w:pPr>
              <w:jc w:val="center"/>
            </w:pPr>
            <w:r/>
            <w:r>
              <w:rPr>
                <w:rFonts w:ascii="Calibri" w:hAnsi="Calibri"/>
                <w:sz w:val="20"/>
              </w:rPr>
              <w:t>USR-234</w:t>
            </w:r>
          </w:p>
        </w:tc>
        <w:tc>
          <w:tcPr>
            <w:tcW w:type="dxa" w:w="1008"/>
          </w:tcPr>
          <w:p>
            <w:pPr>
              <w:jc w:val="center"/>
            </w:pPr>
            <w:r/>
            <w:r>
              <w:rPr>
                <w:rFonts w:ascii="Calibri" w:hAnsi="Calibri"/>
                <w:sz w:val="20"/>
              </w:rPr>
              <w:t>180 days</w:t>
            </w:r>
          </w:p>
        </w:tc>
        <w:tc>
          <w:tcPr>
            <w:tcW w:type="dxa" w:w="3168"/>
          </w:tcPr>
          <w:p>
            <w:pPr>
              <w:jc w:val="center"/>
            </w:pPr>
            <w:r/>
            <w:r>
              <w:rPr>
                <w:rFonts w:ascii="Calibri" w:hAnsi="Calibri"/>
                <w:sz w:val="20"/>
              </w:rPr>
              <w:t>C2 beaconing (~4/day, 6-hour interval), occasional DGA DNS, data staging</w:t>
            </w:r>
          </w:p>
        </w:tc>
        <w:tc>
          <w:tcPr>
            <w:tcW w:type="dxa" w:w="2160"/>
          </w:tcPr>
          <w:p>
            <w:pPr>
              <w:jc w:val="center"/>
            </w:pPr>
            <w:r/>
            <w:r>
              <w:rPr>
                <w:rFonts w:ascii="Calibri" w:hAnsi="Calibri"/>
                <w:sz w:val="20"/>
              </w:rPr>
              <w:t>T1071, T1573, T1074, T1048</w:t>
            </w:r>
          </w:p>
        </w:tc>
      </w:tr>
      <w:tr>
        <w:tc>
          <w:tcPr>
            <w:tcW w:type="dxa" w:w="864"/>
            <w:shd w:fill="EAF0F6" w:val="clear"/>
          </w:tcPr>
          <w:p>
            <w:pPr>
              <w:jc w:val="center"/>
            </w:pPr>
            <w:r/>
            <w:r>
              <w:rPr>
                <w:rFonts w:ascii="Calibri" w:hAnsi="Calibri"/>
                <w:sz w:val="20"/>
              </w:rPr>
              <w:t>ATK-004</w:t>
            </w:r>
          </w:p>
        </w:tc>
        <w:tc>
          <w:tcPr>
            <w:tcW w:type="dxa" w:w="1440"/>
            <w:shd w:fill="EAF0F6" w:val="clear"/>
          </w:tcPr>
          <w:p>
            <w:pPr>
              <w:jc w:val="center"/>
            </w:pPr>
            <w:r/>
            <w:r>
              <w:rPr>
                <w:rFonts w:ascii="Calibri" w:hAnsi="Calibri"/>
                <w:sz w:val="20"/>
              </w:rPr>
              <w:t>Insider Threat</w:t>
            </w:r>
          </w:p>
        </w:tc>
        <w:tc>
          <w:tcPr>
            <w:tcW w:type="dxa" w:w="1008"/>
            <w:shd w:fill="EAF0F6" w:val="clear"/>
          </w:tcPr>
          <w:p>
            <w:pPr>
              <w:jc w:val="center"/>
            </w:pPr>
            <w:r/>
            <w:r>
              <w:rPr>
                <w:rFonts w:ascii="Calibri" w:hAnsi="Calibri"/>
                <w:sz w:val="20"/>
              </w:rPr>
              <w:t>USR-156</w:t>
            </w:r>
          </w:p>
        </w:tc>
        <w:tc>
          <w:tcPr>
            <w:tcW w:type="dxa" w:w="1008"/>
            <w:shd w:fill="EAF0F6" w:val="clear"/>
          </w:tcPr>
          <w:p>
            <w:pPr>
              <w:jc w:val="center"/>
            </w:pPr>
            <w:r/>
            <w:r>
              <w:rPr>
                <w:rFonts w:ascii="Calibri" w:hAnsi="Calibri"/>
                <w:sz w:val="20"/>
              </w:rPr>
              <w:t>8 months</w:t>
            </w:r>
          </w:p>
        </w:tc>
        <w:tc>
          <w:tcPr>
            <w:tcW w:type="dxa" w:w="3168"/>
            <w:shd w:fill="EAF0F6" w:val="clear"/>
          </w:tcPr>
          <w:p>
            <w:pPr>
              <w:jc w:val="center"/>
            </w:pPr>
            <w:r/>
            <w:r>
              <w:rPr>
                <w:rFonts w:ascii="Calibri" w:hAnsi="Calibri"/>
                <w:sz w:val="20"/>
              </w:rPr>
              <w:t>4-phase escalation: mood shift, exploration, staging, exfiltration</w:t>
            </w:r>
          </w:p>
        </w:tc>
        <w:tc>
          <w:tcPr>
            <w:tcW w:type="dxa" w:w="2160"/>
            <w:shd w:fill="EAF0F6" w:val="clear"/>
          </w:tcPr>
          <w:p>
            <w:pPr>
              <w:jc w:val="center"/>
            </w:pPr>
            <w:r/>
            <w:r>
              <w:rPr>
                <w:rFonts w:ascii="Calibri" w:hAnsi="Calibri"/>
                <w:sz w:val="20"/>
              </w:rPr>
              <w:t>T1078, T1083, T1005, T1039, T1052, T1048, T1567</w:t>
            </w:r>
          </w:p>
        </w:tc>
      </w:tr>
      <w:tr>
        <w:tc>
          <w:tcPr>
            <w:tcW w:type="dxa" w:w="864"/>
          </w:tcPr>
          <w:p>
            <w:pPr>
              <w:jc w:val="center"/>
            </w:pPr>
            <w:r/>
            <w:r>
              <w:rPr>
                <w:rFonts w:ascii="Calibri" w:hAnsi="Calibri"/>
                <w:sz w:val="20"/>
              </w:rPr>
              <w:t>ATK-005</w:t>
            </w:r>
          </w:p>
        </w:tc>
        <w:tc>
          <w:tcPr>
            <w:tcW w:type="dxa" w:w="1440"/>
          </w:tcPr>
          <w:p>
            <w:pPr>
              <w:jc w:val="center"/>
            </w:pPr>
            <w:r/>
            <w:r>
              <w:rPr>
                <w:rFonts w:ascii="Calibri" w:hAnsi="Calibri"/>
                <w:sz w:val="20"/>
              </w:rPr>
              <w:t>Supply Chain</w:t>
            </w:r>
          </w:p>
        </w:tc>
        <w:tc>
          <w:tcPr>
            <w:tcW w:type="dxa" w:w="1008"/>
          </w:tcPr>
          <w:p>
            <w:pPr>
              <w:jc w:val="center"/>
            </w:pPr>
            <w:r/>
            <w:r>
              <w:rPr>
                <w:rFonts w:ascii="Calibri" w:hAnsi="Calibri"/>
                <w:sz w:val="20"/>
              </w:rPr>
              <w:t>USR-*</w:t>
            </w:r>
          </w:p>
        </w:tc>
        <w:tc>
          <w:tcPr>
            <w:tcW w:type="dxa" w:w="1008"/>
          </w:tcPr>
          <w:p>
            <w:pPr>
              <w:jc w:val="center"/>
            </w:pPr>
            <w:r/>
            <w:r>
              <w:rPr>
                <w:rFonts w:ascii="Calibri" w:hAnsi="Calibri"/>
                <w:sz w:val="20"/>
              </w:rPr>
              <w:t>30 days</w:t>
            </w:r>
          </w:p>
        </w:tc>
        <w:tc>
          <w:tcPr>
            <w:tcW w:type="dxa" w:w="3168"/>
          </w:tcPr>
          <w:p>
            <w:pPr>
              <w:jc w:val="center"/>
            </w:pPr>
            <w:r/>
            <w:r>
              <w:rPr>
                <w:rFonts w:ascii="Calibri" w:hAnsi="Calibri"/>
                <w:sz w:val="20"/>
              </w:rPr>
              <w:t>Compromised software update introducing backdoor access</w:t>
            </w:r>
          </w:p>
        </w:tc>
        <w:tc>
          <w:tcPr>
            <w:tcW w:type="dxa" w:w="2160"/>
          </w:tcPr>
          <w:p>
            <w:pPr>
              <w:jc w:val="center"/>
            </w:pPr>
            <w:r/>
            <w:r>
              <w:rPr>
                <w:rFonts w:ascii="Calibri" w:hAnsi="Calibri"/>
                <w:sz w:val="20"/>
              </w:rPr>
              <w:t>T1195, T1059, T1071</w:t>
            </w:r>
          </w:p>
        </w:tc>
      </w:tr>
      <w:tr>
        <w:tc>
          <w:tcPr>
            <w:tcW w:type="dxa" w:w="864"/>
            <w:shd w:fill="EAF0F6" w:val="clear"/>
          </w:tcPr>
          <w:p>
            <w:pPr>
              <w:jc w:val="center"/>
            </w:pPr>
            <w:r/>
            <w:r>
              <w:rPr>
                <w:rFonts w:ascii="Calibri" w:hAnsi="Calibri"/>
                <w:sz w:val="20"/>
              </w:rPr>
              <w:t>ATK-006</w:t>
            </w:r>
          </w:p>
        </w:tc>
        <w:tc>
          <w:tcPr>
            <w:tcW w:type="dxa" w:w="1440"/>
            <w:shd w:fill="EAF0F6" w:val="clear"/>
          </w:tcPr>
          <w:p>
            <w:pPr>
              <w:jc w:val="center"/>
            </w:pPr>
            <w:r/>
            <w:r>
              <w:rPr>
                <w:rFonts w:ascii="Calibri" w:hAnsi="Calibri"/>
                <w:sz w:val="20"/>
              </w:rPr>
              <w:t>Privilege Escalation</w:t>
            </w:r>
          </w:p>
        </w:tc>
        <w:tc>
          <w:tcPr>
            <w:tcW w:type="dxa" w:w="1008"/>
            <w:shd w:fill="EAF0F6" w:val="clear"/>
          </w:tcPr>
          <w:p>
            <w:pPr>
              <w:jc w:val="center"/>
            </w:pPr>
            <w:r/>
            <w:r>
              <w:rPr>
                <w:rFonts w:ascii="Calibri" w:hAnsi="Calibri"/>
                <w:sz w:val="20"/>
              </w:rPr>
              <w:t>USR-*</w:t>
            </w:r>
          </w:p>
        </w:tc>
        <w:tc>
          <w:tcPr>
            <w:tcW w:type="dxa" w:w="1008"/>
            <w:shd w:fill="EAF0F6" w:val="clear"/>
          </w:tcPr>
          <w:p>
            <w:pPr>
              <w:jc w:val="center"/>
            </w:pPr>
            <w:r/>
            <w:r>
              <w:rPr>
                <w:rFonts w:ascii="Calibri" w:hAnsi="Calibri"/>
                <w:sz w:val="20"/>
              </w:rPr>
              <w:t>14 days</w:t>
            </w:r>
          </w:p>
        </w:tc>
        <w:tc>
          <w:tcPr>
            <w:tcW w:type="dxa" w:w="3168"/>
            <w:shd w:fill="EAF0F6" w:val="clear"/>
          </w:tcPr>
          <w:p>
            <w:pPr>
              <w:jc w:val="center"/>
            </w:pPr>
            <w:r/>
            <w:r>
              <w:rPr>
                <w:rFonts w:ascii="Calibri" w:hAnsi="Calibri"/>
                <w:sz w:val="20"/>
              </w:rPr>
              <w:t>Exploitation of misconfigured service accounts for escalation</w:t>
            </w:r>
          </w:p>
        </w:tc>
        <w:tc>
          <w:tcPr>
            <w:tcW w:type="dxa" w:w="2160"/>
            <w:shd w:fill="EAF0F6" w:val="clear"/>
          </w:tcPr>
          <w:p>
            <w:pPr>
              <w:jc w:val="center"/>
            </w:pPr>
            <w:r/>
            <w:r>
              <w:rPr>
                <w:rFonts w:ascii="Calibri" w:hAnsi="Calibri"/>
                <w:sz w:val="20"/>
              </w:rPr>
              <w:t>T1068, T1078, T1098</w:t>
            </w:r>
          </w:p>
        </w:tc>
      </w:tr>
      <w:tr>
        <w:tc>
          <w:tcPr>
            <w:tcW w:type="dxa" w:w="864"/>
          </w:tcPr>
          <w:p>
            <w:pPr>
              <w:jc w:val="center"/>
            </w:pPr>
            <w:r/>
            <w:r>
              <w:rPr>
                <w:rFonts w:ascii="Calibri" w:hAnsi="Calibri"/>
                <w:sz w:val="20"/>
              </w:rPr>
              <w:t>ATK-007</w:t>
            </w:r>
          </w:p>
        </w:tc>
        <w:tc>
          <w:tcPr>
            <w:tcW w:type="dxa" w:w="1440"/>
          </w:tcPr>
          <w:p>
            <w:pPr>
              <w:jc w:val="center"/>
            </w:pPr>
            <w:r/>
            <w:r>
              <w:rPr>
                <w:rFonts w:ascii="Calibri" w:hAnsi="Calibri"/>
                <w:sz w:val="20"/>
              </w:rPr>
              <w:t>Volt Typhoon LOTL</w:t>
            </w:r>
          </w:p>
        </w:tc>
        <w:tc>
          <w:tcPr>
            <w:tcW w:type="dxa" w:w="1008"/>
          </w:tcPr>
          <w:p>
            <w:pPr>
              <w:jc w:val="center"/>
            </w:pPr>
            <w:r/>
            <w:r>
              <w:rPr>
                <w:rFonts w:ascii="Calibri" w:hAnsi="Calibri"/>
                <w:sz w:val="20"/>
              </w:rPr>
              <w:t>USR-042</w:t>
            </w:r>
          </w:p>
        </w:tc>
        <w:tc>
          <w:tcPr>
            <w:tcW w:type="dxa" w:w="1008"/>
          </w:tcPr>
          <w:p>
            <w:pPr>
              <w:jc w:val="center"/>
            </w:pPr>
            <w:r/>
            <w:r>
              <w:rPr>
                <w:rFonts w:ascii="Calibri" w:hAnsi="Calibri"/>
                <w:sz w:val="20"/>
              </w:rPr>
              <w:t>115 days</w:t>
            </w:r>
          </w:p>
        </w:tc>
        <w:tc>
          <w:tcPr>
            <w:tcW w:type="dxa" w:w="3168"/>
          </w:tcPr>
          <w:p>
            <w:pPr>
              <w:jc w:val="center"/>
            </w:pPr>
            <w:r/>
            <w:r>
              <w:rPr>
                <w:rFonts w:ascii="Calibri" w:hAnsi="Calibri"/>
                <w:sz w:val="20"/>
              </w:rPr>
              <w:t>Living-off-the-land: LOLBin abuse, WMI/PowerShell lateral movement, no malware, slow data staging via legitimate admin tools</w:t>
            </w:r>
          </w:p>
        </w:tc>
        <w:tc>
          <w:tcPr>
            <w:tcW w:type="dxa" w:w="2160"/>
          </w:tcPr>
          <w:p>
            <w:pPr>
              <w:jc w:val="center"/>
            </w:pPr>
            <w:r/>
            <w:r>
              <w:rPr>
                <w:rFonts w:ascii="Calibri" w:hAnsi="Calibri"/>
                <w:sz w:val="20"/>
              </w:rPr>
              <w:t>T1059, T1047, T1218, T1003, T1074, T1071, T1048</w:t>
            </w:r>
          </w:p>
        </w:tc>
      </w:tr>
      <w:tr>
        <w:tc>
          <w:tcPr>
            <w:tcW w:type="dxa" w:w="864"/>
            <w:shd w:fill="EAF0F6" w:val="clear"/>
          </w:tcPr>
          <w:p>
            <w:pPr>
              <w:jc w:val="center"/>
            </w:pPr>
            <w:r/>
            <w:r>
              <w:rPr>
                <w:rFonts w:ascii="Calibri" w:hAnsi="Calibri"/>
                <w:sz w:val="20"/>
              </w:rPr>
              <w:t>ATK-008</w:t>
            </w:r>
          </w:p>
        </w:tc>
        <w:tc>
          <w:tcPr>
            <w:tcW w:type="dxa" w:w="1440"/>
            <w:shd w:fill="EAF0F6" w:val="clear"/>
          </w:tcPr>
          <w:p>
            <w:pPr>
              <w:jc w:val="center"/>
            </w:pPr>
            <w:r/>
            <w:r>
              <w:rPr>
                <w:rFonts w:ascii="Calibri" w:hAnsi="Calibri"/>
                <w:sz w:val="20"/>
              </w:rPr>
              <w:t>Salt Typhoon Telecom</w:t>
            </w:r>
          </w:p>
        </w:tc>
        <w:tc>
          <w:tcPr>
            <w:tcW w:type="dxa" w:w="1008"/>
            <w:shd w:fill="EAF0F6" w:val="clear"/>
          </w:tcPr>
          <w:p>
            <w:pPr>
              <w:jc w:val="center"/>
            </w:pPr>
            <w:r/>
            <w:r>
              <w:rPr>
                <w:rFonts w:ascii="Calibri" w:hAnsi="Calibri"/>
                <w:sz w:val="20"/>
              </w:rPr>
              <w:t>USR-118</w:t>
            </w:r>
          </w:p>
        </w:tc>
        <w:tc>
          <w:tcPr>
            <w:tcW w:type="dxa" w:w="1008"/>
            <w:shd w:fill="EAF0F6" w:val="clear"/>
          </w:tcPr>
          <w:p>
            <w:pPr>
              <w:jc w:val="center"/>
            </w:pPr>
            <w:r/>
            <w:r>
              <w:rPr>
                <w:rFonts w:ascii="Calibri" w:hAnsi="Calibri"/>
                <w:sz w:val="20"/>
              </w:rPr>
              <w:t>100 days</w:t>
            </w:r>
          </w:p>
        </w:tc>
        <w:tc>
          <w:tcPr>
            <w:tcW w:type="dxa" w:w="3168"/>
            <w:shd w:fill="EAF0F6" w:val="clear"/>
          </w:tcPr>
          <w:p>
            <w:pPr>
              <w:jc w:val="center"/>
            </w:pPr>
            <w:r/>
            <w:r>
              <w:rPr>
                <w:rFonts w:ascii="Calibri" w:hAnsi="Calibri"/>
                <w:sz w:val="20"/>
              </w:rPr>
              <w:t>Telecom infrastructure targeting: router config exfil, call metadata harvesting, DNS tunneling for C2, encrypted exfil channels</w:t>
            </w:r>
          </w:p>
        </w:tc>
        <w:tc>
          <w:tcPr>
            <w:tcW w:type="dxa" w:w="2160"/>
            <w:shd w:fill="EAF0F6" w:val="clear"/>
          </w:tcPr>
          <w:p>
            <w:pPr>
              <w:jc w:val="center"/>
            </w:pPr>
            <w:r/>
            <w:r>
              <w:rPr>
                <w:rFonts w:ascii="Calibri" w:hAnsi="Calibri"/>
                <w:sz w:val="20"/>
              </w:rPr>
              <w:t>T1071, T1573, T1005, T1039, T1048, T1572, T1041</w:t>
            </w:r>
          </w:p>
        </w:tc>
      </w:tr>
    </w:tbl>
    <w:p>
      <w:r>
        <w:br w:type="page"/>
      </w:r>
    </w:p>
    <w:p>
      <w:pPr>
        <w:pStyle w:val="Heading2"/>
        <w:spacing w:before="240" w:after="160"/>
      </w:pPr>
      <w:r>
        <w:rPr>
          <w:rFonts w:ascii="Calibri" w:hAnsi="Calibri"/>
          <w:color w:val="0D1B2A"/>
        </w:rPr>
        <w:t>Appendix C: MITRE ATT&amp;CK Mapping</w:t>
      </w:r>
    </w:p>
    <w:p>
      <w:pPr>
        <w:spacing w:after="120" w:before="0" w:line="280" w:lineRule="exact"/>
      </w:pPr>
      <w:r>
        <w:rPr>
          <w:rFonts w:ascii="Calibri" w:hAnsi="Calibri"/>
          <w:b w:val="0"/>
          <w:color w:val="000000"/>
          <w:sz w:val="22"/>
        </w:rPr>
        <w:t>The following table maps the MITRE ATT&amp;CK techniques observed in the four primary attack scenarios to their corresponding tactics.</w:t>
      </w:r>
    </w:p>
    <w:tbl>
      <w:tblPr>
        <w:tblW w:type="auto" w:w="0"/>
        <w:jc w:val="center"/>
        <w:tblLook w:firstColumn="1" w:firstRow="1" w:lastColumn="0" w:lastRow="0" w:noHBand="0" w:noVBand="1" w:val="04A0"/>
        <w:tblBorders>
          <w:top w:val="single" w:sz="4" w:space="0" w:color="0D1B2A"/>
          <w:left w:val="single" w:sz="4" w:space="0" w:color="0D1B2A"/>
          <w:bottom w:val="single" w:sz="4" w:space="0" w:color="0D1B2A"/>
          <w:right w:val="single" w:sz="4" w:space="0" w:color="0D1B2A"/>
          <w:insideH w:val="single" w:sz="4" w:space="0" w:color="0D1B2A"/>
          <w:insideV w:val="single" w:sz="4" w:space="0" w:color="0D1B2A"/>
        </w:tblBorders>
      </w:tblPr>
      <w:tblGrid>
        <w:gridCol w:w="2340"/>
        <w:gridCol w:w="2340"/>
        <w:gridCol w:w="2340"/>
        <w:gridCol w:w="2340"/>
      </w:tblGrid>
      <w:tr>
        <w:tc>
          <w:tcPr>
            <w:tcW w:type="dxa" w:w="1440"/>
            <w:shd w:fill="0D1B2A" w:val="clear"/>
          </w:tcPr>
          <w:p>
            <w:pPr>
              <w:jc w:val="center"/>
            </w:pPr>
            <w:r/>
            <w:r>
              <w:rPr>
                <w:rFonts w:ascii="Calibri" w:hAnsi="Calibri"/>
                <w:b/>
                <w:color w:val="FFFFFF"/>
                <w:sz w:val="20"/>
              </w:rPr>
              <w:t>Technique ID</w:t>
            </w:r>
          </w:p>
        </w:tc>
        <w:tc>
          <w:tcPr>
            <w:tcW w:type="dxa" w:w="2160"/>
            <w:shd w:fill="0D1B2A" w:val="clear"/>
          </w:tcPr>
          <w:p>
            <w:pPr>
              <w:jc w:val="center"/>
            </w:pPr>
            <w:r/>
            <w:r>
              <w:rPr>
                <w:rFonts w:ascii="Calibri" w:hAnsi="Calibri"/>
                <w:b/>
                <w:color w:val="FFFFFF"/>
                <w:sz w:val="20"/>
              </w:rPr>
              <w:t>Technique Name</w:t>
            </w:r>
          </w:p>
        </w:tc>
        <w:tc>
          <w:tcPr>
            <w:tcW w:type="dxa" w:w="2880"/>
            <w:shd w:fill="0D1B2A" w:val="clear"/>
          </w:tcPr>
          <w:p>
            <w:pPr>
              <w:jc w:val="center"/>
            </w:pPr>
            <w:r/>
            <w:r>
              <w:rPr>
                <w:rFonts w:ascii="Calibri" w:hAnsi="Calibri"/>
                <w:b/>
                <w:color w:val="FFFFFF"/>
                <w:sz w:val="20"/>
              </w:rPr>
              <w:t>Tactic(s)</w:t>
            </w:r>
          </w:p>
        </w:tc>
        <w:tc>
          <w:tcPr>
            <w:tcW w:type="dxa" w:w="3168"/>
            <w:shd w:fill="0D1B2A" w:val="clear"/>
          </w:tcPr>
          <w:p>
            <w:pPr>
              <w:jc w:val="center"/>
            </w:pPr>
            <w:r/>
            <w:r>
              <w:rPr>
                <w:rFonts w:ascii="Calibri" w:hAnsi="Calibri"/>
                <w:b/>
                <w:color w:val="FFFFFF"/>
                <w:sz w:val="20"/>
              </w:rPr>
              <w:t>Description</w:t>
            </w:r>
          </w:p>
        </w:tc>
      </w:tr>
      <w:tr>
        <w:tc>
          <w:tcPr>
            <w:tcW w:type="dxa" w:w="1440"/>
          </w:tcPr>
          <w:p>
            <w:pPr>
              <w:jc w:val="center"/>
            </w:pPr>
            <w:r/>
            <w:r>
              <w:rPr>
                <w:rFonts w:ascii="Calibri" w:hAnsi="Calibri"/>
                <w:sz w:val="20"/>
              </w:rPr>
              <w:t>T1566</w:t>
            </w:r>
          </w:p>
        </w:tc>
        <w:tc>
          <w:tcPr>
            <w:tcW w:type="dxa" w:w="2160"/>
          </w:tcPr>
          <w:p>
            <w:pPr>
              <w:jc w:val="center"/>
            </w:pPr>
            <w:r/>
            <w:r>
              <w:rPr>
                <w:rFonts w:ascii="Calibri" w:hAnsi="Calibri"/>
                <w:sz w:val="20"/>
              </w:rPr>
              <w:t>Phishing</w:t>
            </w:r>
          </w:p>
        </w:tc>
        <w:tc>
          <w:tcPr>
            <w:tcW w:type="dxa" w:w="2880"/>
          </w:tcPr>
          <w:p>
            <w:pPr>
              <w:jc w:val="center"/>
            </w:pPr>
            <w:r/>
            <w:r>
              <w:rPr>
                <w:rFonts w:ascii="Calibri" w:hAnsi="Calibri"/>
                <w:sz w:val="20"/>
              </w:rPr>
              <w:t>Initial Access</w:t>
            </w:r>
          </w:p>
        </w:tc>
        <w:tc>
          <w:tcPr>
            <w:tcW w:type="dxa" w:w="3168"/>
          </w:tcPr>
          <w:p>
            <w:pPr>
              <w:jc w:val="center"/>
            </w:pPr>
            <w:r/>
            <w:r>
              <w:rPr>
                <w:rFonts w:ascii="Calibri" w:hAnsi="Calibri"/>
                <w:sz w:val="20"/>
              </w:rPr>
              <w:t>Spearphishing email to deliver credential harvester</w:t>
            </w:r>
          </w:p>
        </w:tc>
      </w:tr>
      <w:tr>
        <w:tc>
          <w:tcPr>
            <w:tcW w:type="dxa" w:w="1440"/>
            <w:shd w:fill="EAF0F6" w:val="clear"/>
          </w:tcPr>
          <w:p>
            <w:pPr>
              <w:jc w:val="center"/>
            </w:pPr>
            <w:r/>
            <w:r>
              <w:rPr>
                <w:rFonts w:ascii="Calibri" w:hAnsi="Calibri"/>
                <w:sz w:val="20"/>
              </w:rPr>
              <w:t>T1078</w:t>
            </w:r>
          </w:p>
        </w:tc>
        <w:tc>
          <w:tcPr>
            <w:tcW w:type="dxa" w:w="2160"/>
            <w:shd w:fill="EAF0F6" w:val="clear"/>
          </w:tcPr>
          <w:p>
            <w:pPr>
              <w:jc w:val="center"/>
            </w:pPr>
            <w:r/>
            <w:r>
              <w:rPr>
                <w:rFonts w:ascii="Calibri" w:hAnsi="Calibri"/>
                <w:sz w:val="20"/>
              </w:rPr>
              <w:t>Valid Accounts</w:t>
            </w:r>
          </w:p>
        </w:tc>
        <w:tc>
          <w:tcPr>
            <w:tcW w:type="dxa" w:w="2880"/>
            <w:shd w:fill="EAF0F6" w:val="clear"/>
          </w:tcPr>
          <w:p>
            <w:pPr>
              <w:jc w:val="center"/>
            </w:pPr>
            <w:r/>
            <w:r>
              <w:rPr>
                <w:rFonts w:ascii="Calibri" w:hAnsi="Calibri"/>
                <w:sz w:val="20"/>
              </w:rPr>
              <w:t>Persistence, Privilege Escalation, Defense Evasion</w:t>
            </w:r>
          </w:p>
        </w:tc>
        <w:tc>
          <w:tcPr>
            <w:tcW w:type="dxa" w:w="3168"/>
            <w:shd w:fill="EAF0F6" w:val="clear"/>
          </w:tcPr>
          <w:p>
            <w:pPr>
              <w:jc w:val="center"/>
            </w:pPr>
            <w:r/>
            <w:r>
              <w:rPr>
                <w:rFonts w:ascii="Calibri" w:hAnsi="Calibri"/>
                <w:sz w:val="20"/>
              </w:rPr>
              <w:t>Use of legitimate credentials to avoid detection</w:t>
            </w:r>
          </w:p>
        </w:tc>
      </w:tr>
      <w:tr>
        <w:tc>
          <w:tcPr>
            <w:tcW w:type="dxa" w:w="1440"/>
          </w:tcPr>
          <w:p>
            <w:pPr>
              <w:jc w:val="center"/>
            </w:pPr>
            <w:r/>
            <w:r>
              <w:rPr>
                <w:rFonts w:ascii="Calibri" w:hAnsi="Calibri"/>
                <w:sz w:val="20"/>
              </w:rPr>
              <w:t>T1003</w:t>
            </w:r>
          </w:p>
        </w:tc>
        <w:tc>
          <w:tcPr>
            <w:tcW w:type="dxa" w:w="2160"/>
          </w:tcPr>
          <w:p>
            <w:pPr>
              <w:jc w:val="center"/>
            </w:pPr>
            <w:r/>
            <w:r>
              <w:rPr>
                <w:rFonts w:ascii="Calibri" w:hAnsi="Calibri"/>
                <w:sz w:val="20"/>
              </w:rPr>
              <w:t>OS Credential Dumping</w:t>
            </w:r>
          </w:p>
        </w:tc>
        <w:tc>
          <w:tcPr>
            <w:tcW w:type="dxa" w:w="2880"/>
          </w:tcPr>
          <w:p>
            <w:pPr>
              <w:jc w:val="center"/>
            </w:pPr>
            <w:r/>
            <w:r>
              <w:rPr>
                <w:rFonts w:ascii="Calibri" w:hAnsi="Calibri"/>
                <w:sz w:val="20"/>
              </w:rPr>
              <w:t>Credential Access</w:t>
            </w:r>
          </w:p>
        </w:tc>
        <w:tc>
          <w:tcPr>
            <w:tcW w:type="dxa" w:w="3168"/>
          </w:tcPr>
          <w:p>
            <w:pPr>
              <w:jc w:val="center"/>
            </w:pPr>
            <w:r/>
            <w:r>
              <w:rPr>
                <w:rFonts w:ascii="Calibri" w:hAnsi="Calibri"/>
                <w:sz w:val="20"/>
              </w:rPr>
              <w:t>Extraction of credentials from memory or registry</w:t>
            </w:r>
          </w:p>
        </w:tc>
      </w:tr>
      <w:tr>
        <w:tc>
          <w:tcPr>
            <w:tcW w:type="dxa" w:w="1440"/>
            <w:shd w:fill="EAF0F6" w:val="clear"/>
          </w:tcPr>
          <w:p>
            <w:pPr>
              <w:jc w:val="center"/>
            </w:pPr>
            <w:r/>
            <w:r>
              <w:rPr>
                <w:rFonts w:ascii="Calibri" w:hAnsi="Calibri"/>
                <w:sz w:val="20"/>
              </w:rPr>
              <w:t>T1021</w:t>
            </w:r>
          </w:p>
        </w:tc>
        <w:tc>
          <w:tcPr>
            <w:tcW w:type="dxa" w:w="2160"/>
            <w:shd w:fill="EAF0F6" w:val="clear"/>
          </w:tcPr>
          <w:p>
            <w:pPr>
              <w:jc w:val="center"/>
            </w:pPr>
            <w:r/>
            <w:r>
              <w:rPr>
                <w:rFonts w:ascii="Calibri" w:hAnsi="Calibri"/>
                <w:sz w:val="20"/>
              </w:rPr>
              <w:t>Remote Services</w:t>
            </w:r>
          </w:p>
        </w:tc>
        <w:tc>
          <w:tcPr>
            <w:tcW w:type="dxa" w:w="2880"/>
            <w:shd w:fill="EAF0F6" w:val="clear"/>
          </w:tcPr>
          <w:p>
            <w:pPr>
              <w:jc w:val="center"/>
            </w:pPr>
            <w:r/>
            <w:r>
              <w:rPr>
                <w:rFonts w:ascii="Calibri" w:hAnsi="Calibri"/>
                <w:sz w:val="20"/>
              </w:rPr>
              <w:t>Lateral Movement</w:t>
            </w:r>
          </w:p>
        </w:tc>
        <w:tc>
          <w:tcPr>
            <w:tcW w:type="dxa" w:w="3168"/>
            <w:shd w:fill="EAF0F6" w:val="clear"/>
          </w:tcPr>
          <w:p>
            <w:pPr>
              <w:jc w:val="center"/>
            </w:pPr>
            <w:r/>
            <w:r>
              <w:rPr>
                <w:rFonts w:ascii="Calibri" w:hAnsi="Calibri"/>
                <w:sz w:val="20"/>
              </w:rPr>
              <w:t>Use of RDP, SSH, or SMB for lateral traversal</w:t>
            </w:r>
          </w:p>
        </w:tc>
      </w:tr>
      <w:tr>
        <w:tc>
          <w:tcPr>
            <w:tcW w:type="dxa" w:w="1440"/>
          </w:tcPr>
          <w:p>
            <w:pPr>
              <w:jc w:val="center"/>
            </w:pPr>
            <w:r/>
            <w:r>
              <w:rPr>
                <w:rFonts w:ascii="Calibri" w:hAnsi="Calibri"/>
                <w:sz w:val="20"/>
              </w:rPr>
              <w:t>T1083</w:t>
            </w:r>
          </w:p>
        </w:tc>
        <w:tc>
          <w:tcPr>
            <w:tcW w:type="dxa" w:w="2160"/>
          </w:tcPr>
          <w:p>
            <w:pPr>
              <w:jc w:val="center"/>
            </w:pPr>
            <w:r/>
            <w:r>
              <w:rPr>
                <w:rFonts w:ascii="Calibri" w:hAnsi="Calibri"/>
                <w:sz w:val="20"/>
              </w:rPr>
              <w:t>File and Directory Discovery</w:t>
            </w:r>
          </w:p>
        </w:tc>
        <w:tc>
          <w:tcPr>
            <w:tcW w:type="dxa" w:w="2880"/>
          </w:tcPr>
          <w:p>
            <w:pPr>
              <w:jc w:val="center"/>
            </w:pPr>
            <w:r/>
            <w:r>
              <w:rPr>
                <w:rFonts w:ascii="Calibri" w:hAnsi="Calibri"/>
                <w:sz w:val="20"/>
              </w:rPr>
              <w:t>Discovery</w:t>
            </w:r>
          </w:p>
        </w:tc>
        <w:tc>
          <w:tcPr>
            <w:tcW w:type="dxa" w:w="3168"/>
          </w:tcPr>
          <w:p>
            <w:pPr>
              <w:jc w:val="center"/>
            </w:pPr>
            <w:r/>
            <w:r>
              <w:rPr>
                <w:rFonts w:ascii="Calibri" w:hAnsi="Calibri"/>
                <w:sz w:val="20"/>
              </w:rPr>
              <w:t>Enumeration of file systems to identify targets</w:t>
            </w:r>
          </w:p>
        </w:tc>
      </w:tr>
      <w:tr>
        <w:tc>
          <w:tcPr>
            <w:tcW w:type="dxa" w:w="1440"/>
            <w:shd w:fill="EAF0F6" w:val="clear"/>
          </w:tcPr>
          <w:p>
            <w:pPr>
              <w:jc w:val="center"/>
            </w:pPr>
            <w:r/>
            <w:r>
              <w:rPr>
                <w:rFonts w:ascii="Calibri" w:hAnsi="Calibri"/>
                <w:sz w:val="20"/>
              </w:rPr>
              <w:t>T1005</w:t>
            </w:r>
          </w:p>
        </w:tc>
        <w:tc>
          <w:tcPr>
            <w:tcW w:type="dxa" w:w="2160"/>
            <w:shd w:fill="EAF0F6" w:val="clear"/>
          </w:tcPr>
          <w:p>
            <w:pPr>
              <w:jc w:val="center"/>
            </w:pPr>
            <w:r/>
            <w:r>
              <w:rPr>
                <w:rFonts w:ascii="Calibri" w:hAnsi="Calibri"/>
                <w:sz w:val="20"/>
              </w:rPr>
              <w:t>Data from Local System</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Collection of sensitive data from local storage</w:t>
            </w:r>
          </w:p>
        </w:tc>
      </w:tr>
      <w:tr>
        <w:tc>
          <w:tcPr>
            <w:tcW w:type="dxa" w:w="1440"/>
          </w:tcPr>
          <w:p>
            <w:pPr>
              <w:jc w:val="center"/>
            </w:pPr>
            <w:r/>
            <w:r>
              <w:rPr>
                <w:rFonts w:ascii="Calibri" w:hAnsi="Calibri"/>
                <w:sz w:val="20"/>
              </w:rPr>
              <w:t>T1039</w:t>
            </w:r>
          </w:p>
        </w:tc>
        <w:tc>
          <w:tcPr>
            <w:tcW w:type="dxa" w:w="2160"/>
          </w:tcPr>
          <w:p>
            <w:pPr>
              <w:jc w:val="center"/>
            </w:pPr>
            <w:r/>
            <w:r>
              <w:rPr>
                <w:rFonts w:ascii="Calibri" w:hAnsi="Calibri"/>
                <w:sz w:val="20"/>
              </w:rPr>
              <w:t>Data from Network Shared Drive</w:t>
            </w:r>
          </w:p>
        </w:tc>
        <w:tc>
          <w:tcPr>
            <w:tcW w:type="dxa" w:w="2880"/>
          </w:tcPr>
          <w:p>
            <w:pPr>
              <w:jc w:val="center"/>
            </w:pPr>
            <w:r/>
            <w:r>
              <w:rPr>
                <w:rFonts w:ascii="Calibri" w:hAnsi="Calibri"/>
                <w:sz w:val="20"/>
              </w:rPr>
              <w:t>Collection</w:t>
            </w:r>
          </w:p>
        </w:tc>
        <w:tc>
          <w:tcPr>
            <w:tcW w:type="dxa" w:w="3168"/>
          </w:tcPr>
          <w:p>
            <w:pPr>
              <w:jc w:val="center"/>
            </w:pPr>
            <w:r/>
            <w:r>
              <w:rPr>
                <w:rFonts w:ascii="Calibri" w:hAnsi="Calibri"/>
                <w:sz w:val="20"/>
              </w:rPr>
              <w:t>Collection of data from network file shares</w:t>
            </w:r>
          </w:p>
        </w:tc>
      </w:tr>
      <w:tr>
        <w:tc>
          <w:tcPr>
            <w:tcW w:type="dxa" w:w="1440"/>
            <w:shd w:fill="EAF0F6" w:val="clear"/>
          </w:tcPr>
          <w:p>
            <w:pPr>
              <w:jc w:val="center"/>
            </w:pPr>
            <w:r/>
            <w:r>
              <w:rPr>
                <w:rFonts w:ascii="Calibri" w:hAnsi="Calibri"/>
                <w:sz w:val="20"/>
              </w:rPr>
              <w:t>T1074</w:t>
            </w:r>
          </w:p>
        </w:tc>
        <w:tc>
          <w:tcPr>
            <w:tcW w:type="dxa" w:w="2160"/>
            <w:shd w:fill="EAF0F6" w:val="clear"/>
          </w:tcPr>
          <w:p>
            <w:pPr>
              <w:jc w:val="center"/>
            </w:pPr>
            <w:r/>
            <w:r>
              <w:rPr>
                <w:rFonts w:ascii="Calibri" w:hAnsi="Calibri"/>
                <w:sz w:val="20"/>
              </w:rPr>
              <w:t>Data Staged</w:t>
            </w:r>
          </w:p>
        </w:tc>
        <w:tc>
          <w:tcPr>
            <w:tcW w:type="dxa" w:w="2880"/>
            <w:shd w:fill="EAF0F6" w:val="clear"/>
          </w:tcPr>
          <w:p>
            <w:pPr>
              <w:jc w:val="center"/>
            </w:pPr>
            <w:r/>
            <w:r>
              <w:rPr>
                <w:rFonts w:ascii="Calibri" w:hAnsi="Calibri"/>
                <w:sz w:val="20"/>
              </w:rPr>
              <w:t>Collection</w:t>
            </w:r>
          </w:p>
        </w:tc>
        <w:tc>
          <w:tcPr>
            <w:tcW w:type="dxa" w:w="3168"/>
            <w:shd w:fill="EAF0F6" w:val="clear"/>
          </w:tcPr>
          <w:p>
            <w:pPr>
              <w:jc w:val="center"/>
            </w:pPr>
            <w:r/>
            <w:r>
              <w:rPr>
                <w:rFonts w:ascii="Calibri" w:hAnsi="Calibri"/>
                <w:sz w:val="20"/>
              </w:rPr>
              <w:t>Staging of collected data prior to exfiltration</w:t>
            </w:r>
          </w:p>
        </w:tc>
      </w:tr>
      <w:tr>
        <w:tc>
          <w:tcPr>
            <w:tcW w:type="dxa" w:w="1440"/>
          </w:tcPr>
          <w:p>
            <w:pPr>
              <w:jc w:val="center"/>
            </w:pPr>
            <w:r/>
            <w:r>
              <w:rPr>
                <w:rFonts w:ascii="Calibri" w:hAnsi="Calibri"/>
                <w:sz w:val="20"/>
              </w:rPr>
              <w:t>T1071</w:t>
            </w:r>
          </w:p>
        </w:tc>
        <w:tc>
          <w:tcPr>
            <w:tcW w:type="dxa" w:w="2160"/>
          </w:tcPr>
          <w:p>
            <w:pPr>
              <w:jc w:val="center"/>
            </w:pPr>
            <w:r/>
            <w:r>
              <w:rPr>
                <w:rFonts w:ascii="Calibri" w:hAnsi="Calibri"/>
                <w:sz w:val="20"/>
              </w:rPr>
              <w:t>Application Layer Protocol</w:t>
            </w:r>
          </w:p>
        </w:tc>
        <w:tc>
          <w:tcPr>
            <w:tcW w:type="dxa" w:w="2880"/>
          </w:tcPr>
          <w:p>
            <w:pPr>
              <w:jc w:val="center"/>
            </w:pPr>
            <w:r/>
            <w:r>
              <w:rPr>
                <w:rFonts w:ascii="Calibri" w:hAnsi="Calibri"/>
                <w:sz w:val="20"/>
              </w:rPr>
              <w:t>Command and Control</w:t>
            </w:r>
          </w:p>
        </w:tc>
        <w:tc>
          <w:tcPr>
            <w:tcW w:type="dxa" w:w="3168"/>
          </w:tcPr>
          <w:p>
            <w:pPr>
              <w:jc w:val="center"/>
            </w:pPr>
            <w:r/>
            <w:r>
              <w:rPr>
                <w:rFonts w:ascii="Calibri" w:hAnsi="Calibri"/>
                <w:sz w:val="20"/>
              </w:rPr>
              <w:t>C2 communication over HTTPS/HTTP</w:t>
            </w:r>
          </w:p>
        </w:tc>
      </w:tr>
      <w:tr>
        <w:tc>
          <w:tcPr>
            <w:tcW w:type="dxa" w:w="1440"/>
            <w:shd w:fill="EAF0F6" w:val="clear"/>
          </w:tcPr>
          <w:p>
            <w:pPr>
              <w:jc w:val="center"/>
            </w:pPr>
            <w:r/>
            <w:r>
              <w:rPr>
                <w:rFonts w:ascii="Calibri" w:hAnsi="Calibri"/>
                <w:sz w:val="20"/>
              </w:rPr>
              <w:t>T1573</w:t>
            </w:r>
          </w:p>
        </w:tc>
        <w:tc>
          <w:tcPr>
            <w:tcW w:type="dxa" w:w="2160"/>
            <w:shd w:fill="EAF0F6" w:val="clear"/>
          </w:tcPr>
          <w:p>
            <w:pPr>
              <w:jc w:val="center"/>
            </w:pPr>
            <w:r/>
            <w:r>
              <w:rPr>
                <w:rFonts w:ascii="Calibri" w:hAnsi="Calibri"/>
                <w:sz w:val="20"/>
              </w:rPr>
              <w:t>Encrypted Channel</w:t>
            </w:r>
          </w:p>
        </w:tc>
        <w:tc>
          <w:tcPr>
            <w:tcW w:type="dxa" w:w="2880"/>
            <w:shd w:fill="EAF0F6" w:val="clear"/>
          </w:tcPr>
          <w:p>
            <w:pPr>
              <w:jc w:val="center"/>
            </w:pPr>
            <w:r/>
            <w:r>
              <w:rPr>
                <w:rFonts w:ascii="Calibri" w:hAnsi="Calibri"/>
                <w:sz w:val="20"/>
              </w:rPr>
              <w:t>Command and Control</w:t>
            </w:r>
          </w:p>
        </w:tc>
        <w:tc>
          <w:tcPr>
            <w:tcW w:type="dxa" w:w="3168"/>
            <w:shd w:fill="EAF0F6" w:val="clear"/>
          </w:tcPr>
          <w:p>
            <w:pPr>
              <w:jc w:val="center"/>
            </w:pPr>
            <w:r/>
            <w:r>
              <w:rPr>
                <w:rFonts w:ascii="Calibri" w:hAnsi="Calibri"/>
                <w:sz w:val="20"/>
              </w:rPr>
              <w:t>Encryption of C2 traffic to evade inspection</w:t>
            </w:r>
          </w:p>
        </w:tc>
      </w:tr>
      <w:tr>
        <w:tc>
          <w:tcPr>
            <w:tcW w:type="dxa" w:w="1440"/>
          </w:tcPr>
          <w:p>
            <w:pPr>
              <w:jc w:val="center"/>
            </w:pPr>
            <w:r/>
            <w:r>
              <w:rPr>
                <w:rFonts w:ascii="Calibri" w:hAnsi="Calibri"/>
                <w:sz w:val="20"/>
              </w:rPr>
              <w:t>T1048</w:t>
            </w:r>
          </w:p>
        </w:tc>
        <w:tc>
          <w:tcPr>
            <w:tcW w:type="dxa" w:w="2160"/>
          </w:tcPr>
          <w:p>
            <w:pPr>
              <w:jc w:val="center"/>
            </w:pPr>
            <w:r/>
            <w:r>
              <w:rPr>
                <w:rFonts w:ascii="Calibri" w:hAnsi="Calibri"/>
                <w:sz w:val="20"/>
              </w:rPr>
              <w:t>Exfiltration Over Alternative Protocol</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via non-standard protocols</w:t>
            </w:r>
          </w:p>
        </w:tc>
      </w:tr>
      <w:tr>
        <w:tc>
          <w:tcPr>
            <w:tcW w:type="dxa" w:w="1440"/>
            <w:shd w:fill="EAF0F6" w:val="clear"/>
          </w:tcPr>
          <w:p>
            <w:pPr>
              <w:jc w:val="center"/>
            </w:pPr>
            <w:r/>
            <w:r>
              <w:rPr>
                <w:rFonts w:ascii="Calibri" w:hAnsi="Calibri"/>
                <w:sz w:val="20"/>
              </w:rPr>
              <w:t>T1052</w:t>
            </w:r>
          </w:p>
        </w:tc>
        <w:tc>
          <w:tcPr>
            <w:tcW w:type="dxa" w:w="2160"/>
            <w:shd w:fill="EAF0F6" w:val="clear"/>
          </w:tcPr>
          <w:p>
            <w:pPr>
              <w:jc w:val="center"/>
            </w:pPr>
            <w:r/>
            <w:r>
              <w:rPr>
                <w:rFonts w:ascii="Calibri" w:hAnsi="Calibri"/>
                <w:sz w:val="20"/>
              </w:rPr>
              <w:t>Exfiltration Over Physical Medium</w:t>
            </w:r>
          </w:p>
        </w:tc>
        <w:tc>
          <w:tcPr>
            <w:tcW w:type="dxa" w:w="2880"/>
            <w:shd w:fill="EAF0F6" w:val="clear"/>
          </w:tcPr>
          <w:p>
            <w:pPr>
              <w:jc w:val="center"/>
            </w:pPr>
            <w:r/>
            <w:r>
              <w:rPr>
                <w:rFonts w:ascii="Calibri" w:hAnsi="Calibri"/>
                <w:sz w:val="20"/>
              </w:rPr>
              <w:t>Exfiltration</w:t>
            </w:r>
          </w:p>
        </w:tc>
        <w:tc>
          <w:tcPr>
            <w:tcW w:type="dxa" w:w="3168"/>
            <w:shd w:fill="EAF0F6" w:val="clear"/>
          </w:tcPr>
          <w:p>
            <w:pPr>
              <w:jc w:val="center"/>
            </w:pPr>
            <w:r/>
            <w:r>
              <w:rPr>
                <w:rFonts w:ascii="Calibri" w:hAnsi="Calibri"/>
                <w:sz w:val="20"/>
              </w:rPr>
              <w:t>Data exfiltration via removable media</w:t>
            </w:r>
          </w:p>
        </w:tc>
      </w:tr>
      <w:tr>
        <w:tc>
          <w:tcPr>
            <w:tcW w:type="dxa" w:w="1440"/>
          </w:tcPr>
          <w:p>
            <w:pPr>
              <w:jc w:val="center"/>
            </w:pPr>
            <w:r/>
            <w:r>
              <w:rPr>
                <w:rFonts w:ascii="Calibri" w:hAnsi="Calibri"/>
                <w:sz w:val="20"/>
              </w:rPr>
              <w:t>T1567</w:t>
            </w:r>
          </w:p>
        </w:tc>
        <w:tc>
          <w:tcPr>
            <w:tcW w:type="dxa" w:w="2160"/>
          </w:tcPr>
          <w:p>
            <w:pPr>
              <w:jc w:val="center"/>
            </w:pPr>
            <w:r/>
            <w:r>
              <w:rPr>
                <w:rFonts w:ascii="Calibri" w:hAnsi="Calibri"/>
                <w:sz w:val="20"/>
              </w:rPr>
              <w:t>Exfiltration Over Web Service</w:t>
            </w:r>
          </w:p>
        </w:tc>
        <w:tc>
          <w:tcPr>
            <w:tcW w:type="dxa" w:w="2880"/>
          </w:tcPr>
          <w:p>
            <w:pPr>
              <w:jc w:val="center"/>
            </w:pPr>
            <w:r/>
            <w:r>
              <w:rPr>
                <w:rFonts w:ascii="Calibri" w:hAnsi="Calibri"/>
                <w:sz w:val="20"/>
              </w:rPr>
              <w:t>Exfiltration</w:t>
            </w:r>
          </w:p>
        </w:tc>
        <w:tc>
          <w:tcPr>
            <w:tcW w:type="dxa" w:w="3168"/>
          </w:tcPr>
          <w:p>
            <w:pPr>
              <w:jc w:val="center"/>
            </w:pPr>
            <w:r/>
            <w:r>
              <w:rPr>
                <w:rFonts w:ascii="Calibri" w:hAnsi="Calibri"/>
                <w:sz w:val="20"/>
              </w:rPr>
              <w:t>Data exfiltration to cloud storage services</w:t>
            </w:r>
          </w:p>
        </w:tc>
      </w:tr>
      <w:tr>
        <w:tc>
          <w:tcPr>
            <w:tcW w:type="dxa" w:w="1440"/>
            <w:shd w:fill="EAF0F6" w:val="clear"/>
          </w:tcPr>
          <w:p>
            <w:pPr>
              <w:jc w:val="center"/>
            </w:pPr>
            <w:r/>
            <w:r>
              <w:rPr>
                <w:rFonts w:ascii="Calibri" w:hAnsi="Calibri"/>
                <w:sz w:val="20"/>
              </w:rPr>
              <w:t>T1059</w:t>
            </w:r>
          </w:p>
        </w:tc>
        <w:tc>
          <w:tcPr>
            <w:tcW w:type="dxa" w:w="2160"/>
            <w:shd w:fill="EAF0F6" w:val="clear"/>
          </w:tcPr>
          <w:p>
            <w:pPr>
              <w:jc w:val="center"/>
            </w:pPr>
            <w:r/>
            <w:r>
              <w:rPr>
                <w:rFonts w:ascii="Calibri" w:hAnsi="Calibri"/>
                <w:sz w:val="20"/>
              </w:rPr>
              <w:t>Command and Scripting Interpreter</w:t>
            </w:r>
          </w:p>
        </w:tc>
        <w:tc>
          <w:tcPr>
            <w:tcW w:type="dxa" w:w="2880"/>
            <w:shd w:fill="EAF0F6" w:val="clear"/>
          </w:tcPr>
          <w:p>
            <w:pPr>
              <w:jc w:val="center"/>
            </w:pPr>
            <w:r/>
            <w:r>
              <w:rPr>
                <w:rFonts w:ascii="Calibri" w:hAnsi="Calibri"/>
                <w:sz w:val="20"/>
              </w:rPr>
              <w:t>Execution</w:t>
            </w:r>
          </w:p>
        </w:tc>
        <w:tc>
          <w:tcPr>
            <w:tcW w:type="dxa" w:w="3168"/>
            <w:shd w:fill="EAF0F6" w:val="clear"/>
          </w:tcPr>
          <w:p>
            <w:pPr>
              <w:jc w:val="center"/>
            </w:pPr>
            <w:r/>
            <w:r>
              <w:rPr>
                <w:rFonts w:ascii="Calibri" w:hAnsi="Calibri"/>
                <w:sz w:val="20"/>
              </w:rPr>
              <w:t>LOLBin abuse via PowerShell, cmd.exe, wmic (Volt Typhoon)</w:t>
            </w:r>
          </w:p>
        </w:tc>
      </w:tr>
      <w:tr>
        <w:tc>
          <w:tcPr>
            <w:tcW w:type="dxa" w:w="1440"/>
          </w:tcPr>
          <w:p>
            <w:pPr>
              <w:jc w:val="center"/>
            </w:pPr>
            <w:r/>
            <w:r>
              <w:rPr>
                <w:rFonts w:ascii="Calibri" w:hAnsi="Calibri"/>
                <w:sz w:val="20"/>
              </w:rPr>
              <w:t>T1047</w:t>
            </w:r>
          </w:p>
        </w:tc>
        <w:tc>
          <w:tcPr>
            <w:tcW w:type="dxa" w:w="2160"/>
          </w:tcPr>
          <w:p>
            <w:pPr>
              <w:jc w:val="center"/>
            </w:pPr>
            <w:r/>
            <w:r>
              <w:rPr>
                <w:rFonts w:ascii="Calibri" w:hAnsi="Calibri"/>
                <w:sz w:val="20"/>
              </w:rPr>
              <w:t>Windows Management Instrumentation</w:t>
            </w:r>
          </w:p>
        </w:tc>
        <w:tc>
          <w:tcPr>
            <w:tcW w:type="dxa" w:w="2880"/>
          </w:tcPr>
          <w:p>
            <w:pPr>
              <w:jc w:val="center"/>
            </w:pPr>
            <w:r/>
            <w:r>
              <w:rPr>
                <w:rFonts w:ascii="Calibri" w:hAnsi="Calibri"/>
                <w:sz w:val="20"/>
              </w:rPr>
              <w:t>Execution</w:t>
            </w:r>
          </w:p>
        </w:tc>
        <w:tc>
          <w:tcPr>
            <w:tcW w:type="dxa" w:w="3168"/>
          </w:tcPr>
          <w:p>
            <w:pPr>
              <w:jc w:val="center"/>
            </w:pPr>
            <w:r/>
            <w:r>
              <w:rPr>
                <w:rFonts w:ascii="Calibri" w:hAnsi="Calibri"/>
                <w:sz w:val="20"/>
              </w:rPr>
              <w:t>WMI for lateral movement and remote execution (Volt Typhoon)</w:t>
            </w:r>
          </w:p>
        </w:tc>
      </w:tr>
      <w:tr>
        <w:tc>
          <w:tcPr>
            <w:tcW w:type="dxa" w:w="1440"/>
            <w:shd w:fill="EAF0F6" w:val="clear"/>
          </w:tcPr>
          <w:p>
            <w:pPr>
              <w:jc w:val="center"/>
            </w:pPr>
            <w:r/>
            <w:r>
              <w:rPr>
                <w:rFonts w:ascii="Calibri" w:hAnsi="Calibri"/>
                <w:sz w:val="20"/>
              </w:rPr>
              <w:t>T1218</w:t>
            </w:r>
          </w:p>
        </w:tc>
        <w:tc>
          <w:tcPr>
            <w:tcW w:type="dxa" w:w="2160"/>
            <w:shd w:fill="EAF0F6" w:val="clear"/>
          </w:tcPr>
          <w:p>
            <w:pPr>
              <w:jc w:val="center"/>
            </w:pPr>
            <w:r/>
            <w:r>
              <w:rPr>
                <w:rFonts w:ascii="Calibri" w:hAnsi="Calibri"/>
                <w:sz w:val="20"/>
              </w:rPr>
              <w:t>System Binary Proxy Execution</w:t>
            </w:r>
          </w:p>
        </w:tc>
        <w:tc>
          <w:tcPr>
            <w:tcW w:type="dxa" w:w="2880"/>
            <w:shd w:fill="EAF0F6" w:val="clear"/>
          </w:tcPr>
          <w:p>
            <w:pPr>
              <w:jc w:val="center"/>
            </w:pPr>
            <w:r/>
            <w:r>
              <w:rPr>
                <w:rFonts w:ascii="Calibri" w:hAnsi="Calibri"/>
                <w:sz w:val="20"/>
              </w:rPr>
              <w:t>Defense Evasion</w:t>
            </w:r>
          </w:p>
        </w:tc>
        <w:tc>
          <w:tcPr>
            <w:tcW w:type="dxa" w:w="3168"/>
            <w:shd w:fill="EAF0F6" w:val="clear"/>
          </w:tcPr>
          <w:p>
            <w:pPr>
              <w:jc w:val="center"/>
            </w:pPr>
            <w:r/>
            <w:r>
              <w:rPr>
                <w:rFonts w:ascii="Calibri" w:hAnsi="Calibri"/>
                <w:sz w:val="20"/>
              </w:rPr>
              <w:t>Abuse of signed binaries to proxy execution of malicious payloads</w:t>
            </w:r>
          </w:p>
        </w:tc>
      </w:tr>
      <w:tr>
        <w:tc>
          <w:tcPr>
            <w:tcW w:type="dxa" w:w="1440"/>
          </w:tcPr>
          <w:p>
            <w:pPr>
              <w:jc w:val="center"/>
            </w:pPr>
            <w:r/>
            <w:r>
              <w:rPr>
                <w:rFonts w:ascii="Calibri" w:hAnsi="Calibri"/>
                <w:sz w:val="20"/>
              </w:rPr>
              <w:t>T1572</w:t>
            </w:r>
          </w:p>
        </w:tc>
        <w:tc>
          <w:tcPr>
            <w:tcW w:type="dxa" w:w="2160"/>
          </w:tcPr>
          <w:p>
            <w:pPr>
              <w:jc w:val="center"/>
            </w:pPr>
            <w:r/>
            <w:r>
              <w:rPr>
                <w:rFonts w:ascii="Calibri" w:hAnsi="Calibri"/>
                <w:sz w:val="20"/>
              </w:rPr>
              <w:t>Protocol Tunneling</w:t>
            </w:r>
          </w:p>
        </w:tc>
        <w:tc>
          <w:tcPr>
            <w:tcW w:type="dxa" w:w="2880"/>
          </w:tcPr>
          <w:p>
            <w:pPr>
              <w:jc w:val="center"/>
            </w:pPr>
            <w:r/>
            <w:r>
              <w:rPr>
                <w:rFonts w:ascii="Calibri" w:hAnsi="Calibri"/>
                <w:sz w:val="20"/>
              </w:rPr>
              <w:t>Command and Control</w:t>
            </w:r>
          </w:p>
        </w:tc>
        <w:tc>
          <w:tcPr>
            <w:tcW w:type="dxa" w:w="3168"/>
          </w:tcPr>
          <w:p>
            <w:pPr>
              <w:jc w:val="center"/>
            </w:pPr>
            <w:r/>
            <w:r>
              <w:rPr>
                <w:rFonts w:ascii="Calibri" w:hAnsi="Calibri"/>
                <w:sz w:val="20"/>
              </w:rPr>
              <w:t>DNS tunneling for covert C2 communication (Salt Typhoon)</w:t>
            </w:r>
          </w:p>
        </w:tc>
      </w:tr>
      <w:tr>
        <w:tc>
          <w:tcPr>
            <w:tcW w:type="dxa" w:w="1440"/>
            <w:shd w:fill="EAF0F6" w:val="clear"/>
          </w:tcPr>
          <w:p>
            <w:pPr>
              <w:jc w:val="center"/>
            </w:pPr>
            <w:r/>
            <w:r>
              <w:rPr>
                <w:rFonts w:ascii="Calibri" w:hAnsi="Calibri"/>
                <w:sz w:val="20"/>
              </w:rPr>
              <w:t>T1041</w:t>
            </w:r>
          </w:p>
        </w:tc>
        <w:tc>
          <w:tcPr>
            <w:tcW w:type="dxa" w:w="2160"/>
            <w:shd w:fill="EAF0F6" w:val="clear"/>
          </w:tcPr>
          <w:p>
            <w:pPr>
              <w:jc w:val="center"/>
            </w:pPr>
            <w:r/>
            <w:r>
              <w:rPr>
                <w:rFonts w:ascii="Calibri" w:hAnsi="Calibri"/>
                <w:sz w:val="20"/>
              </w:rPr>
              <w:t>Exfiltration Over C2 Channel</w:t>
            </w:r>
          </w:p>
        </w:tc>
        <w:tc>
          <w:tcPr>
            <w:tcW w:type="dxa" w:w="2880"/>
            <w:shd w:fill="EAF0F6" w:val="clear"/>
          </w:tcPr>
          <w:p>
            <w:pPr>
              <w:jc w:val="center"/>
            </w:pPr>
            <w:r/>
            <w:r>
              <w:rPr>
                <w:rFonts w:ascii="Calibri" w:hAnsi="Calibri"/>
                <w:sz w:val="20"/>
              </w:rPr>
              <w:t>Exfiltration</w:t>
            </w:r>
          </w:p>
        </w:tc>
        <w:tc>
          <w:tcPr>
            <w:tcW w:type="dxa" w:w="3168"/>
            <w:shd w:fill="EAF0F6" w:val="clear"/>
          </w:tcPr>
          <w:p>
            <w:pPr>
              <w:jc w:val="center"/>
            </w:pPr>
            <w:r/>
            <w:r>
              <w:rPr>
                <w:rFonts w:ascii="Calibri" w:hAnsi="Calibri"/>
                <w:sz w:val="20"/>
              </w:rPr>
              <w:t>Data exfiltration through existing command and control channel</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B3A5C"/>
        <w:sz w:val="16"/>
      </w:rPr>
      <w:t xml:space="preserve">INTERNAL — FOR EVALUATION PURPOSES  |  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1B3A5C"/>
        <w:sz w:val="16"/>
      </w:rPr>
      <w:t>ACECARD — 22nd Century Technologies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1B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1B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1B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