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B5C"/>
          <w:sz w:val="40"/>
        </w:rPr>
        <w:t>Preemptive Cyber Defense + Behavioral Intelligence</w:t>
      </w:r>
    </w:p>
    <w:p>
      <w:pPr>
        <w:jc w:val="center"/>
      </w:pPr>
      <w:r>
        <w:rPr>
          <w:color w:val="4A5568"/>
          <w:sz w:val="18"/>
        </w:rPr>
        <w:t>Stopping Nation-State Adversaries Before They Strike  |  Containerized for Gabriel Nimbus</w:t>
      </w:r>
    </w:p>
    <w:p>
      <w:pPr>
        <w:pStyle w:val="Heading2"/>
      </w:pPr>
      <w:r>
        <w:t>The Problem</w:t>
      </w:r>
    </w:p>
    <w:p>
      <w:pPr>
        <w:spacing w:after="80"/>
      </w:pPr>
      <w:r>
        <w:t>Volt Typhoon (5+ years, U.S. critical infrastructure) and Salt Typhoon (4+ years, 200+ telecoms, 9 U.S. carriers) used Living-off-the-Land tradecraft to dwell undetected inside networks -- because no existing security tool can mathematically prove configurations block attacks, or detect sub-threshold behavioral drift that accumulates over months.</w:t>
      </w:r>
    </w:p>
    <w:p>
      <w:pPr>
        <w:pStyle w:val="Heading2"/>
      </w:pPr>
      <w:r>
        <w:t>The Solution: Two Layers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5256"/>
          </w:tcPr>
          <w:p>
            <w:r>
              <w:rPr>
                <w:b/>
              </w:rPr>
              <w:t>LAYER 1: Preemptive Verification</w:t>
            </w:r>
          </w:p>
        </w:tc>
        <w:tc>
          <w:tcPr>
            <w:tcW w:type="dxa" w:w="5256"/>
          </w:tcPr>
          <w:p>
            <w:r>
              <w:rPr>
                <w:b/>
              </w:rPr>
              <w:t>LAYER 2: Behavioral (ACECARD UEBA)</w:t>
            </w:r>
          </w:p>
        </w:tc>
      </w:tr>
      <w:tr>
        <w:tc>
          <w:tcPr>
            <w:tcW w:type="dxa" w:w="5256"/>
          </w:tcPr>
          <w:p>
            <w:r>
              <w:t>Formal Mathematical Model of ALL security controls. Exhaustively reasons over the complete config state space. PROVES attack paths are blocked. Continuous re-verification hourly + on every change. Zero false positives. Zero false negatives.</w:t>
            </w:r>
          </w:p>
        </w:tc>
        <w:tc>
          <w:tcPr>
            <w:tcW w:type="dxa" w:w="5256"/>
          </w:tcPr>
          <w:p>
            <w:r>
              <w:t>Digital Twin of each entity instance. User interaction is a living entity with time dimension. Detects sub-threshold behavioral drift over weeks/months. Drift direction mapped to MITRE ATT&amp;CK. Cross-system entity fusion (10+ identity sources).</w:t>
            </w:r>
          </w:p>
        </w:tc>
      </w:tr>
    </w:tbl>
    <w:p>
      <w:pPr>
        <w:pStyle w:val="Heading2"/>
      </w:pPr>
      <w:r>
        <w:t>Coverage</w:t>
      </w:r>
    </w:p>
    <w:p>
      <w:pPr>
        <w:spacing w:after="80"/>
      </w:pPr>
      <w:r>
        <w:t>80% of attacks stopped at network/firewall layer (Preemptive). 15-18% caught by behavioral detection (ACECARD). Combined: 95-98% coverage. Dwell time: hours, not years.</w:t>
      </w:r>
    </w:p>
    <w:p>
      <w:pPr>
        <w:pStyle w:val="Heading2"/>
      </w:pPr>
      <w:r>
        <w:t>How It Stops Volt Typhoon &amp; Salt Typhoon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6912"/>
      </w:tblGrid>
      <w:tr>
        <w:tc>
          <w:tcPr>
            <w:tcW w:type="dxa" w:w="5256"/>
          </w:tcPr>
          <w:p>
            <w:r>
              <w:rPr>
                <w:b/>
              </w:rPr>
              <w:t>Attack Method</w:t>
            </w:r>
          </w:p>
        </w:tc>
        <w:tc>
          <w:tcPr>
            <w:tcW w:type="dxa" w:w="5256"/>
          </w:tcPr>
          <w:p>
            <w:r>
              <w:rPr>
                <w:b/>
              </w:rPr>
              <w:t>How We Stop It</w:t>
            </w:r>
          </w:p>
        </w:tc>
      </w:tr>
      <w:tr>
        <w:tc>
          <w:tcPr>
            <w:tcW w:type="dxa" w:w="5256"/>
          </w:tcPr>
          <w:p>
            <w:r>
              <w:t>Config exploitation</w:t>
            </w:r>
          </w:p>
        </w:tc>
        <w:tc>
          <w:tcPr>
            <w:tcW w:type="dxa" w:w="5256"/>
          </w:tcPr>
          <w:p>
            <w:r>
              <w:t>Mathematical model proves ALL config paths block attack. Every CVE mapped to control verification.</w:t>
            </w:r>
          </w:p>
        </w:tc>
      </w:tr>
      <w:tr>
        <w:tc>
          <w:tcPr>
            <w:tcW w:type="dxa" w:w="5256"/>
          </w:tcPr>
          <w:p>
            <w:r>
              <w:t>LOTL / stolen creds</w:t>
            </w:r>
          </w:p>
        </w:tc>
        <w:tc>
          <w:tcPr>
            <w:tcW w:type="dxa" w:w="5256"/>
          </w:tcPr>
          <w:p>
            <w:r>
              <w:t>Digital Twin detects behavioral drift -- same credentials, structurally different trajectory. Direction: MITRE-mapped.</w:t>
            </w:r>
          </w:p>
        </w:tc>
      </w:tr>
    </w:tbl>
    <w:p>
      <w:pPr>
        <w:pStyle w:val="Heading2"/>
      </w:pPr>
      <w:r>
        <w:t>Deployment</w:t>
      </w:r>
    </w:p>
    <w:p>
      <w:pPr>
        <w:spacing w:after="80"/>
      </w:pPr>
      <w:r>
        <w:t>Iron Bank containers | Kubernetes Helm | IL5/IL6/JWICS | CAC/PIV mTLS | Gabriel Nimbus ready | cATO-aligned CI/CD</w:t>
      </w:r>
    </w:p>
    <w:p>
      <w:pPr>
        <w:pStyle w:val="Heading2"/>
      </w:pPr>
      <w:r>
        <w:t>Team</w:t>
      </w:r>
    </w:p>
    <w:p>
      <w:pPr>
        <w:spacing w:after="40"/>
      </w:pPr>
      <w:r>
        <w:t>22nd Century Technologies: $90M Army SOC/MDR (800+ cleared analysts). 20+ design partners with production findings in F500/federal/CI.</w:t>
      </w:r>
    </w:p>
    <w:p>
      <w:pPr>
        <w:pStyle w:val="Heading2"/>
      </w:pPr>
      <w:r>
        <w:t>Our Offer</w:t>
      </w:r>
    </w:p>
    <w:p>
      <w:r>
        <w:rPr>
          <w:b/>
        </w:rPr>
        <w:t>Give us 4 weeks and your data. We will prove verified gap findings and behavioral detections on YOUR environment. No other vendor can make this offer.</w:t>
      </w:r>
    </w:p>
    <w:p>
      <w:pPr>
        <w:jc w:val="center"/>
      </w:pPr>
      <w:r>
        <w:rPr>
          <w:color w:val="888888"/>
          <w:sz w:val="16"/>
        </w:rPr>
        <w:t>22nd Century Technologies  |  PROPRIETARY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2B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2B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2B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