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36"/>
        </w:rPr>
        <w:t>INTERNAL Quick Reference -- Meeting Prep</w:t>
      </w:r>
    </w:p>
    <w:p>
      <w:pPr>
        <w:jc w:val="center"/>
      </w:pPr>
      <w:r>
        <w:rPr>
          <w:color w:val="C0392B"/>
          <w:sz w:val="20"/>
        </w:rPr>
        <w:t>CFIC 06 MAY 2026  |  DO NOT DISTRIBUTE  |  Personal Reference Only</w:t>
      </w:r>
    </w:p>
    <w:p>
      <w:pPr>
        <w:pStyle w:val="Heading1"/>
      </w:pPr>
      <w:r>
        <w:t>SAFE LANGUAGE (What to Say Out Loud)</w:t>
      </w:r>
    </w:p>
    <w:p>
      <w:pPr>
        <w:pStyle w:val="Heading2"/>
      </w:pPr>
      <w:r>
        <w:t>Preemptive Layer</w:t>
      </w:r>
    </w:p>
    <w:p>
      <w:pPr>
        <w:pStyle w:val="ListBullet"/>
      </w:pPr>
      <w:r>
        <w:t>'We define a Formal Mathematical Model that reasons exhaustively over your complete configuration'</w:t>
      </w:r>
    </w:p>
    <w:p>
      <w:pPr>
        <w:pStyle w:val="ListBullet"/>
      </w:pPr>
      <w:r>
        <w:t>'Not sampling, not scanning -- mathematical proof'</w:t>
      </w:r>
    </w:p>
    <w:p>
      <w:pPr>
        <w:pStyle w:val="ListBullet"/>
      </w:pPr>
      <w:r>
        <w:t>'Zero false positives, zero false negatives within model scope'</w:t>
      </w:r>
    </w:p>
    <w:p>
      <w:pPr>
        <w:pStyle w:val="ListBullet"/>
      </w:pPr>
      <w:r>
        <w:t>'Re-verified hourly and on every configuration change'</w:t>
      </w:r>
    </w:p>
    <w:p>
      <w:pPr>
        <w:pStyle w:val="ListBullet"/>
      </w:pPr>
      <w:r>
        <w:t>'Three intelligences: Attack, Defense, Remediation -- continuous closed loop'</w:t>
      </w:r>
    </w:p>
    <w:p>
      <w:pPr>
        <w:pStyle w:val="Heading2"/>
      </w:pPr>
      <w:r>
        <w:t>UEBA Layer</w:t>
      </w:r>
    </w:p>
    <w:p>
      <w:pPr>
        <w:pStyle w:val="ListBullet"/>
      </w:pPr>
      <w:r>
        <w:t>'We create a Digital Twin of each entity instance'</w:t>
      </w:r>
    </w:p>
    <w:p>
      <w:pPr>
        <w:pStyle w:val="ListBullet"/>
      </w:pPr>
      <w:r>
        <w:t>'User interaction is a living entity with a time dimension'</w:t>
      </w:r>
    </w:p>
    <w:p>
      <w:pPr>
        <w:pStyle w:val="ListBullet"/>
      </w:pPr>
      <w:r>
        <w:t>'Detects sub-threshold behavioral drift that accumulates over weeks and months'</w:t>
      </w:r>
    </w:p>
    <w:p>
      <w:pPr>
        <w:pStyle w:val="ListBullet"/>
      </w:pPr>
      <w:r>
        <w:t>'Drift direction mapped to specific MITRE ATT&amp;CK techniques'</w:t>
      </w:r>
    </w:p>
    <w:p>
      <w:pPr>
        <w:pStyle w:val="ListBullet"/>
      </w:pPr>
      <w:r>
        <w:t>'Cross-system entity fusion -- 10+ identity sources stitched into one trajectory'</w:t>
      </w:r>
    </w:p>
    <w:p>
      <w:pPr>
        <w:pStyle w:val="ListBullet"/>
      </w:pPr>
      <w:r>
        <w:t>'Catches what no threshold-based system can: LOTL, credential abuse, slow lateral movement'</w:t>
      </w:r>
    </w:p>
    <w:p>
      <w:pPr>
        <w:pStyle w:val="Heading2"/>
      </w:pPr>
      <w:r>
        <w:t>Closing / Proof</w:t>
      </w:r>
    </w:p>
    <w:p>
      <w:pPr>
        <w:pStyle w:val="ListBullet"/>
      </w:pPr>
      <w:r>
        <w:t>'Give us 4 weeks and your data -- we will prove it'</w:t>
      </w:r>
    </w:p>
    <w:p>
      <w:pPr>
        <w:pStyle w:val="ListBullet"/>
      </w:pPr>
      <w:r>
        <w:t>'No other vendor can make this offer because no other tool has these capabilities'</w:t>
      </w:r>
    </w:p>
    <w:p>
      <w:pPr>
        <w:pStyle w:val="ListBullet"/>
      </w:pPr>
      <w:r>
        <w:t>'This is not an incremental improvement -- it is a fundamentally new class of defense'</w:t>
      </w:r>
    </w:p>
    <w:p>
      <w:pPr>
        <w:pStyle w:val="ListBullet"/>
      </w:pPr>
      <w:r>
        <w:t>'We can walk through the math on a whiteboard right now if you'd like'</w:t>
      </w:r>
    </w:p>
    <w:p>
      <w:pPr>
        <w:pStyle w:val="Heading1"/>
      </w:pPr>
      <w:r>
        <w:t>Threat Facts (Cite in Breakout Sessions)</w:t>
      </w:r>
    </w:p>
    <w:p>
      <w:pPr>
        <w:pStyle w:val="ListBullet"/>
      </w:pPr>
      <w:r>
        <w:rPr>
          <w:b/>
        </w:rPr>
        <w:t>FACT</w:t>
      </w:r>
      <w:r>
        <w:t xml:space="preserve"> -- Volt Typhoon: 5+ year dwell in U.S. critical infrastructure (CISA AA24-038A)</w:t>
      </w:r>
    </w:p>
    <w:p>
      <w:pPr>
        <w:pStyle w:val="ListBullet"/>
      </w:pPr>
      <w:r>
        <w:rPr>
          <w:b/>
        </w:rPr>
        <w:t>FACT</w:t>
      </w:r>
      <w:r>
        <w:t xml:space="preserve"> -- Salt Typhoon: 4+ years, 200+ telecoms, 9 U.S. carriers, CALEA wiretap access</w:t>
      </w:r>
    </w:p>
    <w:p>
      <w:pPr>
        <w:pStyle w:val="ListBullet"/>
      </w:pPr>
      <w:r>
        <w:rPr>
          <w:b/>
        </w:rPr>
        <w:t>STAT</w:t>
      </w:r>
      <w:r>
        <w:t xml:space="preserve"> -- 99% of firewall breaches caused by MISCONFIGURATION, not firewall flaws (Gartner)</w:t>
      </w:r>
    </w:p>
    <w:p>
      <w:pPr>
        <w:pStyle w:val="ListBullet"/>
      </w:pPr>
      <w:r>
        <w:rPr>
          <w:b/>
        </w:rPr>
        <w:t>STAT</w:t>
      </w:r>
      <w:r>
        <w:t xml:space="preserve"> -- Config state space is exponentially large -- scanners/pentests sample a vanishing fraction</w:t>
      </w:r>
    </w:p>
    <w:p>
      <w:pPr>
        <w:pStyle w:val="ListBullet"/>
      </w:pPr>
      <w:r>
        <w:rPr>
          <w:b/>
        </w:rPr>
        <w:t>FACT</w:t>
      </w:r>
      <w:r>
        <w:t xml:space="preserve"> -- PRC actors test against published Sigma/YARA rules before campaigns</w:t>
      </w:r>
    </w:p>
    <w:p>
      <w:pPr>
        <w:pStyle w:val="ListBullet"/>
      </w:pPr>
      <w:r>
        <w:rPr>
          <w:b/>
        </w:rPr>
        <w:t>FACT</w:t>
      </w:r>
      <w:r>
        <w:t xml:space="preserve"> -- Both campaigns used only legitimate admin tools -- zero malware signatures</w:t>
      </w:r>
    </w:p>
    <w:p>
      <w:pPr>
        <w:pStyle w:val="ListBullet"/>
      </w:pPr>
      <w:r>
        <w:rPr>
          <w:b/>
        </w:rPr>
        <w:t>STAT</w:t>
      </w:r>
      <w:r>
        <w:t xml:space="preserve"> -- Average SOC triage: 30-45 min per alert at 500 alerts/day -- most never investigated</w:t>
      </w:r>
    </w:p>
    <w:p>
      <w:pPr>
        <w:pStyle w:val="Heading1"/>
      </w:pPr>
      <w:r>
        <w:t>Team Numbers (If Asked)</w:t>
      </w:r>
    </w:p>
    <w:p>
      <w:pPr>
        <w:pStyle w:val="ListBullet"/>
      </w:pPr>
      <w:r>
        <w:t>22CT: U.S. Army SOC/MDR $90M, 800+ cleared analysts</w:t>
      </w:r>
    </w:p>
    <w:p>
      <w:pPr>
        <w:pStyle w:val="ListBullet"/>
      </w:pPr>
      <w:r>
        <w:t>22CT: USAF $108M cybersecurity operations</w:t>
      </w:r>
    </w:p>
    <w:p>
      <w:pPr>
        <w:pStyle w:val="ListBullet"/>
      </w:pPr>
      <w:r>
        <w:t>22CT: FBI TSC $56M</w:t>
      </w:r>
    </w:p>
    <w:p>
      <w:pPr>
        <w:pStyle w:val="ListBullet"/>
      </w:pPr>
      <w:r>
        <w:t>22CT: NAVAIR/USMC $145M</w:t>
      </w:r>
    </w:p>
    <w:p>
      <w:pPr>
        <w:pStyle w:val="ListBullet"/>
      </w:pPr>
      <w:r>
        <w:t>20+ design partners -- F500, federal, CI, MSSPs, nation states</w:t>
      </w:r>
    </w:p>
    <w:p>
      <w:pPr>
        <w:pStyle w:val="ListBullet"/>
      </w:pPr>
      <w:r>
        <w:t>IL5/IL6/JWICS deployment capability</w:t>
      </w:r>
    </w:p>
    <w:p>
      <w:pPr>
        <w:pStyle w:val="ListBullet"/>
      </w:pPr>
      <w:r>
        <w:t>GSA MAS, CIO-SP3, SEWP V contract vehicles</w:t>
      </w:r>
    </w:p>
    <w:p>
      <w:pPr>
        <w:pStyle w:val="Heading1"/>
      </w:pPr>
      <w:r>
        <w:t>Anticipated Q&amp;A (Safe Answers)</w:t>
      </w:r>
    </w:p>
    <w:p>
      <w:r>
        <w:rPr>
          <w:b/>
          <w:color w:val="002B5C"/>
        </w:rPr>
        <w:t>Q: How does the formal model actually work?</w:t>
      </w:r>
    </w:p>
    <w:p>
      <w:r>
        <w:t>A: It reasons exhaustively over the complete configuration state space to prove whether attack paths exist. The mathematical approach is proprietary, but we can walk through it on a whiteboard or demonstrate on your data in 4 weeks.</w:t>
      </w:r>
    </w:p>
    <w:p>
      <w:r>
        <w:rPr>
          <w:b/>
          <w:color w:val="002B5C"/>
        </w:rPr>
        <w:t>Q: How is this different from Exabeam/Securonix/Sentinel UEBA?</w:t>
      </w:r>
    </w:p>
    <w:p>
      <w:r>
        <w:t>A: Those use fixed threshold-based anomaly scoring. We create a Digital Twin of each entity with a time dimension. The Twin captures behavioral evolution continuously and detects drift that never crosses any individual threshold. They say 'anomaly score 87%.' We say 'drifting toward lateral_movement at MITRE T1021 -- here's the behavioral evidence.'</w:t>
      </w:r>
    </w:p>
    <w:p>
      <w:r>
        <w:rPr>
          <w:b/>
          <w:color w:val="002B5C"/>
        </w:rPr>
        <w:t>Q: Can this run on JWICS / air-gapped?</w:t>
      </w:r>
    </w:p>
    <w:p>
      <w:r>
        <w:t>A: Yes. Same containerized application. Embedding and AI inference runs locally with no external API call. Environment variable switches between cloud and air-gapped modes. Same Helm charts, same containers.</w:t>
      </w:r>
    </w:p>
    <w:p>
      <w:r>
        <w:rPr>
          <w:b/>
          <w:color w:val="002B5C"/>
        </w:rPr>
        <w:t>Q: What makes you say no other tool can do this?</w:t>
      </w:r>
    </w:p>
    <w:p>
      <w:r>
        <w:t>A: Name any SIEM, EDR, UEBA, scanner, or pentest tool. Ask: can it mathematically prove all config paths block an attack? Can it detect behavioral drift that never crosses a threshold? Can it map that drift to a specific MITRE technique? Can it fuse identity across 10+ systems into one trajectory? The answer is no to all four for every product on the market.</w:t>
      </w:r>
    </w:p>
    <w:p>
      <w:r>
        <w:rPr>
          <w:b/>
          <w:color w:val="002B5C"/>
        </w:rPr>
        <w:t>Q: What about false positives?</w:t>
      </w:r>
    </w:p>
    <w:p>
      <w:r>
        <w:t>A: The Preemptive layer has zero false positives by mathematical construction -- if we say there is a gap, there IS a gap. The Behavioral layer uses multiple validation layers including peer cohort comparison and feedback learning to minimize false positives. In practice, very low FP rate because we detect structural drift, not individual anomalous events.</w:t>
      </w:r>
    </w:p>
    <w:p>
      <w:r>
        <w:rPr>
          <w:b/>
          <w:color w:val="002B5C"/>
        </w:rPr>
        <w:t>Q: What log sources do you need?</w:t>
      </w:r>
    </w:p>
    <w:p>
      <w:r>
        <w:t>A: Any source that produces standard formatted events -- Windows EventLog, Sysmon, EDR feeds, NetFlow, identity systems (AD, Okta, Azure AD), cloud audit logs. We normalize all sources into a unified pipeline.</w:t>
      </w:r>
    </w:p>
    <w:p>
      <w:r>
        <w:rPr>
          <w:b/>
          <w:color w:val="002B5C"/>
        </w:rPr>
        <w:t>Q: How long to show value?</w:t>
      </w:r>
    </w:p>
    <w:p>
      <w:r>
        <w:t>A: Preemptive: verified gap findings within 2 weeks of config ingestion. Behavioral: meaningful drift detection after 30-day baseline establishment. Full operational capability within 90 days.</w:t>
      </w:r>
    </w:p>
    <w:p>
      <w:r>
        <w:rPr>
          <w:b/>
          <w:color w:val="002B5C"/>
        </w:rPr>
        <w:t>Q: How does this relate to what AWS/Microsoft/Google are doing with agents?</w:t>
      </w:r>
    </w:p>
    <w:p>
      <w:r>
        <w:t>A: Those platforms provide runtime plumbing -- orchestration, identity, guardrails. They do NOT provide detection intelligence. Our engines are the domain intelligence substrate that those agent platforms need to act on. Agents without domain logic are just expensive chatbots.</w:t>
      </w:r>
    </w:p>
    <w:p>
      <w:r>
        <w:rPr>
          <w:b/>
          <w:color w:val="002B5C"/>
        </w:rPr>
        <w:t>Q: How do you stop UNKNOWN attacks -- zero-days, novel TTPs with no signature?</w:t>
      </w:r>
    </w:p>
    <w:p>
      <w:r>
        <w:t>A: Two reasons. First, our Preemptive layer proves the DEFENSE is correct -- it does not need to recognize the specific attack. If the formal model proves all paths through your config are blocked, then ANY attack -- known or unknown -- cannot traverse those paths. Unknown CVE? If the compensating control (segmentation, inspection) is proven in place, the unknown exploit still cannot reach its target. Second, our Digital Twin detects behavioral CONSEQUENCE, not attack signatures. An unknown attack still requires the adversary to DO things: move laterally, access unusual systems, use tool combinations the real user never does. The Twin captures that the trajectory is shifting -- regardless of whether we have ever seen this specific attack before. We do not detect attacks. We prove the defense is complete, and we detect behavioral change. Signatures are irrelevant to our approach.</w:t>
      </w:r>
    </w:p>
    <w:p>
      <w:pPr>
        <w:pStyle w:val="Heading1"/>
      </w:pPr>
      <w:r>
        <w:t>Agenda Strategy</w:t>
      </w:r>
    </w:p>
    <w:p>
      <w:r>
        <w:t>0740-0800: Arrive early. Network. Identify key stakeholders.</w:t>
      </w:r>
    </w:p>
    <w:p>
      <w:r>
        <w:t>0815-0900: Listen to problem set overview. Take notes on exact language they use to describe challenges. Mirror this language in your presentation.</w:t>
      </w:r>
    </w:p>
    <w:p>
      <w:r>
        <w:t>0925-1020: LIMITING FACTORS breakout. Be the person who diagnoses clearly. Use the threat facts above. Do not pitch yet -- just establish that you deeply understand the problem.</w:t>
      </w:r>
    </w:p>
    <w:p>
      <w:r>
        <w:t>1040-1140: WAYS TO OVERCOME breakout. Now introduce the concepts (Formal Mathematical Model, Digital Twin). Let others react. Gauge appetite and adjust afternoon presentation accordingly.</w:t>
      </w:r>
    </w:p>
    <w:p>
      <w:r>
        <w:t>1300-1405: SOLUTION BRIEF development. Work with your team to refine the problem statement using morning language. Prepare the deck flow.</w:t>
      </w:r>
    </w:p>
    <w:p>
      <w:r>
        <w:t>1420-1535: PRESENTATION. Deliver the deck. Close with 4-week proof offer.</w:t>
      </w:r>
    </w:p>
    <w:p>
      <w:r>
        <w:t>1535-1545: VOTING. Your solution is unique -- no one else in the room can offer mathematical proof + behavioral Digital Twin. Let that speak.</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2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2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