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10.6% (26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10.6%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3.1  ETL and Data Processing</w:t>
      </w:r>
    </w:p>
    <w:p>
      <w:pPr>
        <w:spacing w:after="120"/>
      </w:pPr>
      <w:r>
        <w:rPr>
          <w:b w:val="0"/>
          <w:i w:val="0"/>
          <w:color w:val="000000"/>
          <w:sz w:val="21"/>
        </w:rPr>
        <w:t>Raw daily logs from seven sources (authentication, file access, network flow, DNS, endpoint telemetry, application activity, privileged operations) are aggregated per entity into numeric features. For detection, features are re-aggregated to a weekly cadence: each user-week is the mean of its daily feature values.</w:t>
      </w:r>
    </w:p>
    <w:p>
      <w:pPr>
        <w:spacing w:before="80" w:after="80"/>
        <w:ind w:left="360"/>
      </w:pPr>
      <w:r>
        <w:rPr>
          <w:rFonts w:ascii="Consolas" w:hAnsi="Consolas"/>
          <w:color w:val="333333"/>
          <w:sz w:val="18"/>
        </w:rPr>
        <w:t>raw logs (7 sources, ~30K events/day)</w:t>
        <w:br/>
        <w:t xml:space="preserve">   -&gt; daily aggregation per user (safe-divide ratios)</w:t>
        <w:br/>
        <w:t xml:space="preserve">      -&gt; weekly feature vector v = mean(daily features)</w:t>
        <w:br/>
        <w:t xml:space="preserve">         -&gt; standardize on a baseline window</w:t>
        <w:br/>
        <w:t xml:space="preserve">            -&gt; outlier model -&gt; anomaly flag</w:t>
      </w:r>
    </w:p>
    <w:p>
      <w:pPr>
        <w:pStyle w:val="Heading2"/>
      </w:pPr>
      <w:r>
        <w:rPr>
          <w:color w:val="1B4F72"/>
        </w:rPr>
        <w:t>3.2  Architecture</w:t>
      </w:r>
    </w:p>
    <w:p>
      <w:pPr>
        <w:spacing w:after="120"/>
      </w:pPr>
      <w:r>
        <w:rPr>
          <w:b w:val="0"/>
          <w:i w:val="0"/>
          <w:color w:val="000000"/>
          <w:sz w:val="21"/>
        </w:rPr>
        <w:t>A batch ETL job writes per-entity feature rows to a relational store; an offline trainer fits an outlier model on a baseline period and scores a later test period. There is no representation of meaning or direction — only numeric distance.</w:t>
      </w:r>
    </w:p>
    <w:p>
      <w:pPr>
        <w:pStyle w:val="Heading2"/>
      </w:pPr>
      <w:r>
        <w:rPr>
          <w:color w:val="1B4F72"/>
        </w:rPr>
        <w:t>3.3  Data Points and Feature Engineering</w:t>
      </w:r>
    </w:p>
    <w:p>
      <w:pPr>
        <w:spacing w:after="120"/>
      </w:pPr>
      <w:r>
        <w:rPr>
          <w:b w:val="0"/>
          <w:i w:val="0"/>
          <w:color w:val="000000"/>
          <w:sz w:val="21"/>
        </w:rPr>
        <w:t>The pipeline computes 31 numeric features per entity per period, grouped into six behavioral categories (auth 7, file 6, network/DNS 5, endpoint 5, app 5, privilege 3). Earlier descriptions cited 23 — precisely the four behavioral-zone groups that drive the embeddings (authentication 7 + file 6 + network/DNS 5 + endpoint 5 = 23); the pipeline later added application (5) and privileged-operation (3) features, which feed the traditional baseline and peer-cohort scoring, for 31 in total.</w:t>
      </w:r>
    </w:p>
    <w:tbl>
      <w:tblPr>
        <w:tblStyle w:val="LightGrid-Accent1"/>
        <w:tblW w:type="auto" w:w="0"/>
        <w:jc w:val="center"/>
        <w:tblLook w:firstColumn="1" w:firstRow="1" w:lastColumn="0" w:lastRow="0" w:noHBand="0" w:noVBand="1" w:val="04A0"/>
      </w:tblPr>
      <w:tblGrid>
        <w:gridCol w:w="3135"/>
        <w:gridCol w:w="3135"/>
        <w:gridCol w:w="3135"/>
      </w:tblGrid>
      <w:tr>
        <w:tc>
          <w:tcPr>
            <w:tcW w:type="dxa" w:w="2736"/>
            <w:shd w:fill="0D1B2A"/>
          </w:tcPr>
          <w:p>
            <w:pPr>
              <w:jc w:val="center"/>
            </w:pPr>
            <w:r>
              <w:rPr>
                <w:b/>
                <w:color w:val="FFFFFF"/>
                <w:sz w:val="18"/>
              </w:rPr>
              <w:t>Category</w:t>
            </w:r>
          </w:p>
        </w:tc>
        <w:tc>
          <w:tcPr>
            <w:tcW w:type="dxa" w:w="576"/>
            <w:shd w:fill="0D1B2A"/>
          </w:tcPr>
          <w:p>
            <w:pPr>
              <w:jc w:val="center"/>
            </w:pPr>
            <w:r>
              <w:rPr>
                <w:b/>
                <w:color w:val="FFFFFF"/>
                <w:sz w:val="18"/>
              </w:rPr>
              <w:t>#</w:t>
            </w:r>
          </w:p>
        </w:tc>
        <w:tc>
          <w:tcPr>
            <w:tcW w:type="dxa" w:w="6048"/>
            <w:shd w:fill="0D1B2A"/>
          </w:tcPr>
          <w:p>
            <w:pPr>
              <w:jc w:val="center"/>
            </w:pPr>
            <w:r>
              <w:rPr>
                <w:b/>
                <w:color w:val="FFFFFF"/>
                <w:sz w:val="18"/>
              </w:rPr>
              <w:t>Features</w:t>
            </w:r>
          </w:p>
        </w:tc>
      </w:tr>
      <w:tr>
        <w:tc>
          <w:tcPr>
            <w:tcW w:type="dxa" w:w="2736"/>
          </w:tcPr>
          <w:p>
            <w:r>
              <w:rPr>
                <w:sz w:val="18"/>
              </w:rPr>
              <w:t>Access Pattern (auth)</w:t>
            </w:r>
          </w:p>
        </w:tc>
        <w:tc>
          <w:tcPr>
            <w:tcW w:type="dxa" w:w="576"/>
          </w:tcPr>
          <w:p>
            <w:r>
              <w:rPr>
                <w:sz w:val="18"/>
              </w:rPr>
              <w:t>7</w:t>
            </w:r>
          </w:p>
        </w:tc>
        <w:tc>
          <w:tcPr>
            <w:tcW w:type="dxa" w:w="6048"/>
          </w:tcPr>
          <w:p>
            <w:r>
              <w:rPr>
                <w:sz w:val="18"/>
              </w:rPr>
              <w:t>auth_total, auth_success, auth_fail_rate, auth_off_hours_ratio,</w:t>
              <w:br/>
              <w:t>auth_unique_sources, auth_unique_dests, auth_methods</w:t>
            </w:r>
          </w:p>
        </w:tc>
      </w:tr>
      <w:tr>
        <w:tc>
          <w:tcPr>
            <w:tcW w:type="dxa" w:w="2736"/>
            <w:shd w:fill="EAF0F6"/>
          </w:tcPr>
          <w:p>
            <w:r>
              <w:rPr>
                <w:sz w:val="18"/>
              </w:rPr>
              <w:t>Data Behavior (file)</w:t>
            </w:r>
          </w:p>
        </w:tc>
        <w:tc>
          <w:tcPr>
            <w:tcW w:type="dxa" w:w="576"/>
            <w:shd w:fill="EAF0F6"/>
          </w:tcPr>
          <w:p>
            <w:r>
              <w:rPr>
                <w:sz w:val="18"/>
              </w:rPr>
              <w:t>6</w:t>
            </w:r>
          </w:p>
        </w:tc>
        <w:tc>
          <w:tcPr>
            <w:tcW w:type="dxa" w:w="6048"/>
            <w:shd w:fill="EAF0F6"/>
          </w:tcPr>
          <w:p>
            <w:r>
              <w:rPr>
                <w:sz w:val="18"/>
              </w:rPr>
              <w:t>file_total, file_restricted_ratio, file_confidential_ratio,</w:t>
              <w:br/>
              <w:t>file_write_ratio, file_unique_paths, file_total_bytes</w:t>
            </w:r>
          </w:p>
        </w:tc>
      </w:tr>
      <w:tr>
        <w:tc>
          <w:tcPr>
            <w:tcW w:type="dxa" w:w="2736"/>
          </w:tcPr>
          <w:p>
            <w:r>
              <w:rPr>
                <w:sz w:val="18"/>
              </w:rPr>
              <w:t>Network Footprint (net/dns)</w:t>
            </w:r>
          </w:p>
        </w:tc>
        <w:tc>
          <w:tcPr>
            <w:tcW w:type="dxa" w:w="576"/>
          </w:tcPr>
          <w:p>
            <w:r>
              <w:rPr>
                <w:sz w:val="18"/>
              </w:rPr>
              <w:t>5</w:t>
            </w:r>
          </w:p>
        </w:tc>
        <w:tc>
          <w:tcPr>
            <w:tcW w:type="dxa" w:w="6048"/>
          </w:tcPr>
          <w:p>
            <w:r>
              <w:rPr>
                <w:sz w:val="18"/>
              </w:rPr>
              <w:t>net_bytes_out, net_unique_dsts, net_external_ratio,</w:t>
              <w:br/>
              <w:t>dns_unique_domains, dns_nxdomain_ratio</w:t>
            </w:r>
          </w:p>
        </w:tc>
      </w:tr>
      <w:tr>
        <w:tc>
          <w:tcPr>
            <w:tcW w:type="dxa" w:w="2736"/>
            <w:shd w:fill="EAF0F6"/>
          </w:tcPr>
          <w:p>
            <w:r>
              <w:rPr>
                <w:sz w:val="18"/>
              </w:rPr>
              <w:t>Risk Posture (endpoint)</w:t>
            </w:r>
          </w:p>
        </w:tc>
        <w:tc>
          <w:tcPr>
            <w:tcW w:type="dxa" w:w="576"/>
            <w:shd w:fill="EAF0F6"/>
          </w:tcPr>
          <w:p>
            <w:r>
              <w:rPr>
                <w:sz w:val="18"/>
              </w:rPr>
              <w:t>5</w:t>
            </w:r>
          </w:p>
        </w:tc>
        <w:tc>
          <w:tcPr>
            <w:tcW w:type="dxa" w:w="6048"/>
            <w:shd w:fill="EAF0F6"/>
          </w:tcPr>
          <w:p>
            <w:r>
              <w:rPr>
                <w:sz w:val="18"/>
              </w:rPr>
              <w:t>endpoint_total, endpoint_suspicious_ratio, endpoint_max_risk,</w:t>
              <w:br/>
              <w:t>endpoint_mean_risk, endpoint_unique_processes</w:t>
            </w:r>
          </w:p>
        </w:tc>
      </w:tr>
      <w:tr>
        <w:tc>
          <w:tcPr>
            <w:tcW w:type="dxa" w:w="2736"/>
          </w:tcPr>
          <w:p>
            <w:r>
              <w:rPr>
                <w:sz w:val="18"/>
              </w:rPr>
              <w:t>Application Activity</w:t>
            </w:r>
          </w:p>
        </w:tc>
        <w:tc>
          <w:tcPr>
            <w:tcW w:type="dxa" w:w="576"/>
          </w:tcPr>
          <w:p>
            <w:r>
              <w:rPr>
                <w:sz w:val="18"/>
              </w:rPr>
              <w:t>5</w:t>
            </w:r>
          </w:p>
        </w:tc>
        <w:tc>
          <w:tcPr>
            <w:tcW w:type="dxa" w:w="6048"/>
          </w:tcPr>
          <w:p>
            <w:r>
              <w:rPr>
                <w:sz w:val="18"/>
              </w:rPr>
              <w:t>app_total, app_unique_apps, app_admin_actions,</w:t>
              <w:br/>
              <w:t>app_export_count, app_error_ratio</w:t>
            </w:r>
          </w:p>
        </w:tc>
      </w:tr>
      <w:tr>
        <w:tc>
          <w:tcPr>
            <w:tcW w:type="dxa" w:w="2736"/>
            <w:shd w:fill="EAF0F6"/>
          </w:tcPr>
          <w:p>
            <w:r>
              <w:rPr>
                <w:sz w:val="18"/>
              </w:rPr>
              <w:t>Privilege Operations</w:t>
            </w:r>
          </w:p>
        </w:tc>
        <w:tc>
          <w:tcPr>
            <w:tcW w:type="dxa" w:w="576"/>
            <w:shd w:fill="EAF0F6"/>
          </w:tcPr>
          <w:p>
            <w:r>
              <w:rPr>
                <w:sz w:val="18"/>
              </w:rPr>
              <w:t>3</w:t>
            </w:r>
          </w:p>
        </w:tc>
        <w:tc>
          <w:tcPr>
            <w:tcW w:type="dxa" w:w="6048"/>
            <w:shd w:fill="EAF0F6"/>
          </w:tcPr>
          <w:p>
            <w:r>
              <w:rPr>
                <w:sz w:val="18"/>
              </w:rPr>
              <w:t>priv_total, priv_elevations, priv_denied_ratio</w:t>
            </w:r>
          </w:p>
        </w:tc>
      </w:tr>
    </w:tbl>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shd w:fill="FBEEE6" w:val="clear"/>
        <w:spacing w:after="120"/>
      </w:pPr>
      <w:r>
        <w:rPr>
          <w:b/>
          <w:color w:val="C0392B"/>
          <w:sz w:val="19"/>
        </w:rPr>
        <w:t xml:space="preserve">⟦ WITHHELD ⟧  </w:t>
      </w:r>
      <w:r>
        <w:rPr>
          <w:i/>
          <w:color w:val="444444"/>
          <w:sz w:val="19"/>
        </w:rPr>
        <w:t>Exact hyperparameters (contamination, nu, neighbor counts, CUSUM thresholds) and the train/test split definition. Exact values are proprietary and disclosed only in the NDA / full-technical edition of this paper.</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10.6%</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4.2  Our ETL and Data Processing</w:t>
      </w:r>
    </w:p>
    <w:p>
      <w:pPr>
        <w:spacing w:after="120"/>
      </w:pPr>
      <w:r>
        <w:rPr>
          <w:b w:val="0"/>
          <w:i w:val="0"/>
          <w:color w:val="000000"/>
          <w:sz w:val="21"/>
        </w:rPr>
        <w:t>The same raw logs feed a richer pipeline. Daily features are serialized into prose per behavioral zone, embedded, composed into per-context entity vectors, persisted in a vector store, and rolled into trajectories. The added step — serialization to language before embedding — is what makes direction measurable.</w:t>
      </w:r>
    </w:p>
    <w:p>
      <w:pPr>
        <w:spacing w:before="80" w:after="80"/>
        <w:ind w:left="360"/>
      </w:pPr>
      <w:r>
        <w:rPr>
          <w:rFonts w:ascii="Consolas" w:hAnsi="Consolas"/>
          <w:color w:val="333333"/>
          <w:sz w:val="18"/>
        </w:rPr>
        <w:t>raw logs -&gt; daily features (31)</w:t>
        <w:br/>
        <w:t xml:space="preserve">  -&gt; zone serialization to prose (with z-scores, baselines, trend labels)</w:t>
        <w:br/>
        <w:t xml:space="preserve">    -&gt; embedding (1536-d, cached)             [Silver -&gt; Gold]</w:t>
        <w:br/>
        <w:t xml:space="preserve">      -&gt; context-adaptive zone composition    -&gt; behavioral_snapshots</w:t>
        <w:br/>
        <w:t xml:space="preserve">        -&gt; rolling trajectory (velocity / regime) -&gt; trajectory_snapshots</w:t>
        <w:br/>
        <w:t xml:space="preserve">          -&gt; detection: drift + concept projection + composite scoring</w:t>
      </w:r>
    </w:p>
    <w:p>
      <w:pPr>
        <w:spacing w:after="120"/>
      </w:pPr>
      <w:r>
        <w:rPr>
          <w:b w:val="0"/>
          <w:i w:val="0"/>
          <w:color w:val="000000"/>
          <w:sz w:val="21"/>
        </w:rPr>
        <w:t>Embeddings are produced by OpenAI text-embedding-3-small (1536-d) and cached by content hash; a development MockEmbedder exists for offline work, but the validation results in this paper were produced with real embeddings (~78,000 API calls, ~97,000 cache hits). Serialization is interpretive: each metric is rendered relative to population, baseline, and trend before embedding.</w:t>
      </w:r>
    </w:p>
    <w:p>
      <w:pPr>
        <w:pStyle w:val="Heading2"/>
      </w:pPr>
      <w:r>
        <w:rPr>
          <w:color w:val="1B4F72"/>
        </w:rPr>
        <w:t>4.3  Architecture</w:t>
      </w:r>
    </w:p>
    <w:p>
      <w:pPr>
        <w:spacing w:after="120"/>
      </w:pPr>
      <w:r>
        <w:rPr>
          <w:b w:val="0"/>
          <w:i w:val="0"/>
          <w:color w:val="000000"/>
          <w:sz w:val="21"/>
        </w:rPr>
        <w:t>A streaming pipeline writes a 'Silver' relational feature layer and a 'Gold' vector layer in PostgreSQL with the pgvector extension; embeddings are stored as 1536-d vectors with an HNSW index for similarity search; a bi-temporal (SCD2) history table versions every embedding. The platform is containerized (Docker).</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Layer</w:t>
            </w:r>
          </w:p>
        </w:tc>
        <w:tc>
          <w:tcPr>
            <w:tcW w:type="dxa" w:w="3456"/>
            <w:shd w:fill="0D1B2A"/>
          </w:tcPr>
          <w:p>
            <w:pPr>
              <w:jc w:val="center"/>
            </w:pPr>
            <w:r>
              <w:rPr>
                <w:b/>
                <w:color w:val="FFFFFF"/>
                <w:sz w:val="18"/>
              </w:rPr>
              <w:t>Store</w:t>
            </w:r>
          </w:p>
        </w:tc>
        <w:tc>
          <w:tcPr>
            <w:tcW w:type="dxa" w:w="4464"/>
            <w:shd w:fill="0D1B2A"/>
          </w:tcPr>
          <w:p>
            <w:pPr>
              <w:jc w:val="center"/>
            </w:pPr>
            <w:r>
              <w:rPr>
                <w:b/>
                <w:color w:val="FFFFFF"/>
                <w:sz w:val="18"/>
              </w:rPr>
              <w:t>Holds</w:t>
            </w:r>
          </w:p>
        </w:tc>
      </w:tr>
      <w:tr>
        <w:tc>
          <w:tcPr>
            <w:tcW w:type="dxa" w:w="1440"/>
          </w:tcPr>
          <w:p>
            <w:r>
              <w:rPr>
                <w:sz w:val="18"/>
              </w:rPr>
              <w:t>Silver</w:t>
            </w:r>
          </w:p>
        </w:tc>
        <w:tc>
          <w:tcPr>
            <w:tcW w:type="dxa" w:w="3456"/>
          </w:tcPr>
          <w:p>
            <w:r>
              <w:rPr>
                <w:sz w:val="18"/>
              </w:rPr>
              <w:t>daily_features (relational)</w:t>
            </w:r>
          </w:p>
        </w:tc>
        <w:tc>
          <w:tcPr>
            <w:tcW w:type="dxa" w:w="4464"/>
          </w:tcPr>
          <w:p>
            <w:r>
              <w:rPr>
                <w:sz w:val="18"/>
              </w:rPr>
              <w:t>31 numeric features per entity-day</w:t>
            </w:r>
          </w:p>
        </w:tc>
      </w:tr>
      <w:tr>
        <w:tc>
          <w:tcPr>
            <w:tcW w:type="dxa" w:w="1440"/>
            <w:shd w:fill="EAF0F6"/>
          </w:tcPr>
          <w:p>
            <w:r>
              <w:rPr>
                <w:sz w:val="18"/>
              </w:rPr>
              <w:t>Gold</w:t>
            </w:r>
          </w:p>
        </w:tc>
        <w:tc>
          <w:tcPr>
            <w:tcW w:type="dxa" w:w="3456"/>
            <w:shd w:fill="EAF0F6"/>
          </w:tcPr>
          <w:p>
            <w:r>
              <w:rPr>
                <w:sz w:val="18"/>
              </w:rPr>
              <w:t>behavioral_snapshots (pgvector)</w:t>
            </w:r>
          </w:p>
        </w:tc>
        <w:tc>
          <w:tcPr>
            <w:tcW w:type="dxa" w:w="4464"/>
            <w:shd w:fill="EAF0F6"/>
          </w:tcPr>
          <w:p>
            <w:r>
              <w:rPr>
                <w:sz w:val="18"/>
              </w:rPr>
              <w:t>5 zone vectors + composite + 4 context composites</w:t>
            </w:r>
          </w:p>
        </w:tc>
      </w:tr>
      <w:tr>
        <w:tc>
          <w:tcPr>
            <w:tcW w:type="dxa" w:w="1440"/>
          </w:tcPr>
          <w:p>
            <w:r>
              <w:rPr>
                <w:sz w:val="18"/>
              </w:rPr>
              <w:t>Gold</w:t>
            </w:r>
          </w:p>
        </w:tc>
        <w:tc>
          <w:tcPr>
            <w:tcW w:type="dxa" w:w="3456"/>
          </w:tcPr>
          <w:p>
            <w:r>
              <w:rPr>
                <w:sz w:val="18"/>
              </w:rPr>
              <w:t>trajectory_snapshots</w:t>
            </w:r>
          </w:p>
        </w:tc>
        <w:tc>
          <w:tcPr>
            <w:tcW w:type="dxa" w:w="4464"/>
          </w:tcPr>
          <w:p>
            <w:r>
              <w:rPr>
                <w:sz w:val="18"/>
              </w:rPr>
              <w:t>velocity, acceleration, regime, zone/context drifts</w:t>
            </w:r>
          </w:p>
        </w:tc>
      </w:tr>
      <w:tr>
        <w:tc>
          <w:tcPr>
            <w:tcW w:type="dxa" w:w="1440"/>
            <w:shd w:fill="EAF0F6"/>
          </w:tcPr>
          <w:p>
            <w:r>
              <w:rPr>
                <w:sz w:val="18"/>
              </w:rPr>
              <w:t>History</w:t>
            </w:r>
          </w:p>
        </w:tc>
        <w:tc>
          <w:tcPr>
            <w:tcW w:type="dxa" w:w="3456"/>
            <w:shd w:fill="EAF0F6"/>
          </w:tcPr>
          <w:p>
            <w:r>
              <w:rPr>
                <w:sz w:val="18"/>
              </w:rPr>
              <w:t>embeddings_history (SCD2)</w:t>
            </w:r>
          </w:p>
        </w:tc>
        <w:tc>
          <w:tcPr>
            <w:tcW w:type="dxa" w:w="4464"/>
            <w:shd w:fill="EAF0F6"/>
          </w:tcPr>
          <w:p>
            <w:r>
              <w:rPr>
                <w:sz w:val="18"/>
              </w:rPr>
              <w:t>bi-temporal versioned embeddings</w:t>
            </w:r>
          </w:p>
        </w:tc>
      </w:tr>
    </w:tbl>
    <w:p/>
    <w:p>
      <w:pPr>
        <w:pStyle w:val="Heading2"/>
      </w:pPr>
      <w:r>
        <w:rPr>
          <w:color w:val="1B4F72"/>
        </w:rPr>
        <w:t>4.4  Data Points and Feature Engineering</w:t>
      </w:r>
    </w:p>
    <w:p>
      <w:pPr>
        <w:spacing w:after="120"/>
      </w:pPr>
      <w:r>
        <w:rPr>
          <w:b w:val="0"/>
          <w:i w:val="0"/>
          <w:color w:val="000000"/>
          <w:sz w:val="21"/>
        </w:rPr>
        <w:t>The entity is decomposed into five behavioral zones, each embedded independently so a signal in one zone is not diluted by stable zones. One zone is static and four are dynamic:</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Zone</w:t>
            </w:r>
          </w:p>
        </w:tc>
        <w:tc>
          <w:tcPr>
            <w:tcW w:type="dxa" w:w="1152"/>
            <w:shd w:fill="0D1B2A"/>
          </w:tcPr>
          <w:p>
            <w:pPr>
              <w:jc w:val="center"/>
            </w:pPr>
            <w:r>
              <w:rPr>
                <w:b/>
                <w:color w:val="FFFFFF"/>
                <w:sz w:val="18"/>
              </w:rPr>
              <w:t>Type</w:t>
            </w:r>
          </w:p>
        </w:tc>
        <w:tc>
          <w:tcPr>
            <w:tcW w:type="dxa" w:w="6192"/>
            <w:shd w:fill="0D1B2A"/>
          </w:tcPr>
          <w:p>
            <w:pPr>
              <w:jc w:val="center"/>
            </w:pPr>
            <w:r>
              <w:rPr>
                <w:b/>
                <w:color w:val="FFFFFF"/>
                <w:sz w:val="18"/>
              </w:rPr>
              <w:t>Fed from</w:t>
            </w:r>
          </w:p>
        </w:tc>
      </w:tr>
      <w:tr>
        <w:tc>
          <w:tcPr>
            <w:tcW w:type="dxa" w:w="2016"/>
          </w:tcPr>
          <w:p>
            <w:r>
              <w:rPr>
                <w:sz w:val="18"/>
              </w:rPr>
              <w:t>Identity</w:t>
            </w:r>
          </w:p>
        </w:tc>
        <w:tc>
          <w:tcPr>
            <w:tcW w:type="dxa" w:w="1152"/>
          </w:tcPr>
          <w:p>
            <w:r>
              <w:rPr>
                <w:sz w:val="18"/>
              </w:rPr>
              <w:t>static</w:t>
            </w:r>
          </w:p>
        </w:tc>
        <w:tc>
          <w:tcPr>
            <w:tcW w:type="dxa" w:w="6192"/>
          </w:tcPr>
          <w:p>
            <w:r>
              <w:rPr>
                <w:sz w:val="18"/>
              </w:rPr>
              <w:t>profile: role, department, clearance, tenure, user type</w:t>
            </w:r>
          </w:p>
        </w:tc>
      </w:tr>
      <w:tr>
        <w:tc>
          <w:tcPr>
            <w:tcW w:type="dxa" w:w="2016"/>
            <w:shd w:fill="EAF0F6"/>
          </w:tcPr>
          <w:p>
            <w:r>
              <w:rPr>
                <w:sz w:val="18"/>
              </w:rPr>
              <w:t>Access pattern</w:t>
            </w:r>
          </w:p>
        </w:tc>
        <w:tc>
          <w:tcPr>
            <w:tcW w:type="dxa" w:w="1152"/>
            <w:shd w:fill="EAF0F6"/>
          </w:tcPr>
          <w:p>
            <w:r>
              <w:rPr>
                <w:sz w:val="18"/>
              </w:rPr>
              <w:t>dynamic</w:t>
            </w:r>
          </w:p>
        </w:tc>
        <w:tc>
          <w:tcPr>
            <w:tcW w:type="dxa" w:w="6192"/>
            <w:shd w:fill="EAF0F6"/>
          </w:tcPr>
          <w:p>
            <w:r>
              <w:rPr>
                <w:sz w:val="18"/>
              </w:rPr>
              <w:t>authentication features (8)</w:t>
            </w:r>
          </w:p>
        </w:tc>
      </w:tr>
      <w:tr>
        <w:tc>
          <w:tcPr>
            <w:tcW w:type="dxa" w:w="2016"/>
          </w:tcPr>
          <w:p>
            <w:r>
              <w:rPr>
                <w:sz w:val="18"/>
              </w:rPr>
              <w:t>Data behavior</w:t>
            </w:r>
          </w:p>
        </w:tc>
        <w:tc>
          <w:tcPr>
            <w:tcW w:type="dxa" w:w="1152"/>
          </w:tcPr>
          <w:p>
            <w:r>
              <w:rPr>
                <w:sz w:val="18"/>
              </w:rPr>
              <w:t>dynamic</w:t>
            </w:r>
          </w:p>
        </w:tc>
        <w:tc>
          <w:tcPr>
            <w:tcW w:type="dxa" w:w="6192"/>
          </w:tcPr>
          <w:p>
            <w:r>
              <w:rPr>
                <w:sz w:val="18"/>
              </w:rPr>
              <w:t>file features (6) + directories accessed (qualitative)</w:t>
            </w:r>
          </w:p>
        </w:tc>
      </w:tr>
      <w:tr>
        <w:tc>
          <w:tcPr>
            <w:tcW w:type="dxa" w:w="2016"/>
            <w:shd w:fill="EAF0F6"/>
          </w:tcPr>
          <w:p>
            <w:r>
              <w:rPr>
                <w:sz w:val="18"/>
              </w:rPr>
              <w:t>Network footprint</w:t>
            </w:r>
          </w:p>
        </w:tc>
        <w:tc>
          <w:tcPr>
            <w:tcW w:type="dxa" w:w="1152"/>
            <w:shd w:fill="EAF0F6"/>
          </w:tcPr>
          <w:p>
            <w:r>
              <w:rPr>
                <w:sz w:val="18"/>
              </w:rPr>
              <w:t>dynamic</w:t>
            </w:r>
          </w:p>
        </w:tc>
        <w:tc>
          <w:tcPr>
            <w:tcW w:type="dxa" w:w="6192"/>
            <w:shd w:fill="EAF0F6"/>
          </w:tcPr>
          <w:p>
            <w:r>
              <w:rPr>
                <w:sz w:val="18"/>
              </w:rPr>
              <w:t>network/DNS features (5) + external IPs &amp; domains (qualitative)</w:t>
            </w:r>
          </w:p>
        </w:tc>
      </w:tr>
      <w:tr>
        <w:tc>
          <w:tcPr>
            <w:tcW w:type="dxa" w:w="2016"/>
          </w:tcPr>
          <w:p>
            <w:r>
              <w:rPr>
                <w:sz w:val="18"/>
              </w:rPr>
              <w:t>Risk posture</w:t>
            </w:r>
          </w:p>
        </w:tc>
        <w:tc>
          <w:tcPr>
            <w:tcW w:type="dxa" w:w="1152"/>
          </w:tcPr>
          <w:p>
            <w:r>
              <w:rPr>
                <w:sz w:val="18"/>
              </w:rPr>
              <w:t>dynamic</w:t>
            </w:r>
          </w:p>
        </w:tc>
        <w:tc>
          <w:tcPr>
            <w:tcW w:type="dxa" w:w="6192"/>
          </w:tcPr>
          <w:p>
            <w:r>
              <w:rPr>
                <w:sz w:val="18"/>
              </w:rPr>
              <w:t>endpoint features (5)</w:t>
            </w:r>
          </w:p>
        </w:tc>
      </w:tr>
    </w:tbl>
    <w:p/>
    <w:p>
      <w:pPr>
        <w:spacing w:after="120"/>
      </w:pPr>
      <w:r>
        <w:rPr>
          <w:b w:val="0"/>
          <w:i w:val="0"/>
          <w:color w:val="000000"/>
          <w:sz w:val="21"/>
        </w:rPr>
        <w:t>Two points of precision. First, the embedding zones deliberately carry qualitative tokens — actual directory names, external IP addresses, and DNS domains — that pure numeric features discard; this is part of why direction becomes measurable. Second, the four dynamic zones are built from the authentication, file, network/DNS, and endpoint feature groups (7 + 6 + 5 + 5 = 23 features — exactly the figure earlier papers cite); the application (5) and privileged-operation (3) features complete the 31-feature set but are not part of the four dynamic embedding zones. The static identity zone changes rarely — and when it does, the change is itself a signal.</w:t>
      </w:r>
    </w:p>
    <w:p>
      <w:pPr>
        <w:spacing w:after="40"/>
      </w:pPr>
      <w:r>
        <w:rPr>
          <w:b w:val="0"/>
          <w:i w:val="0"/>
          <w:color w:val="000000"/>
          <w:sz w:val="21"/>
        </w:rPr>
        <w:t>Two further constructs carry the semantics:</w:t>
      </w:r>
    </w:p>
    <w:p>
      <w:pPr>
        <w:pStyle w:val="ListBullet"/>
        <w:ind w:left="360"/>
      </w:pPr>
      <w:r>
        <w:rPr>
          <w:b/>
          <w:sz w:val="21"/>
        </w:rPr>
        <w:t xml:space="preserve">Reference concepts: </w:t>
      </w:r>
      <w:r>
        <w:rPr>
          <w:sz w:val="21"/>
        </w:rPr>
        <w:t>16 concepts (14 threat + 2 benign) such as data_exfiltration, c2_beacon, lateral_movement, living_off_the_land — each mapped to MITRE ATT&amp;CK techniques.</w:t>
      </w:r>
    </w:p>
    <w:p>
      <w:pPr>
        <w:pStyle w:val="ListBullet"/>
        <w:ind w:left="360"/>
      </w:pPr>
      <w:r>
        <w:rPr>
          <w:b/>
          <w:sz w:val="21"/>
        </w:rPr>
        <w:t xml:space="preserve">Peer cohorts: </w:t>
      </w:r>
      <w:r>
        <w:rPr>
          <w:sz w:val="21"/>
        </w:rPr>
        <w:t>role groups (admin, security, developer, business, executive) so each entity is scored against true peers, not the whole population.</w:t>
      </w:r>
    </w:p>
    <w:p>
      <w:pPr>
        <w:spacing w:after="40"/>
      </w:pPr>
      <w:r>
        <w:rPr>
          <w:b/>
          <w:i w:val="0"/>
          <w:color w:val="000000"/>
          <w:sz w:val="21"/>
        </w:rPr>
        <w:t>Entity-rich feature construction — the behavioral snapshot.</w:t>
      </w:r>
    </w:p>
    <w:p>
      <w:pPr>
        <w:spacing w:after="120"/>
      </w:pPr>
      <w:r>
        <w:rPr>
          <w:b w:val="0"/>
          <w:i w:val="0"/>
          <w:color w:val="000000"/>
          <w:sz w:val="21"/>
        </w:rPr>
        <w:t>Each entity is assembled into a structured, multi-dimensional snapshot: a JSON-like object whose top-level slots are DIMENSIONS (the five zones), each holding SUB-DIMENSIONS (the underlying features), captured as a TIME SERIES of weekly snapshots. That structure — verified against the behavioral_snapshots schema and the zone serializer — is what makes the user a queryable digital twin rather than a row of numbers.</w:t>
      </w:r>
    </w:p>
    <w:p>
      <w:pPr>
        <w:spacing w:before="80" w:after="80"/>
        <w:ind w:left="360"/>
      </w:pPr>
      <w:r>
        <w:rPr>
          <w:rFonts w:ascii="Consolas" w:hAnsi="Consolas"/>
          <w:color w:val="333333"/>
          <w:sz w:val="18"/>
        </w:rPr>
        <w:t>entity = "user/USR-156"        # cutoff_date 2025-05-01 (one weekly snapshot)</w:t>
        <w:br/>
        <w:t>EntitySnapshot = {</w:t>
        <w:br/>
        <w:t xml:space="preserve">  identity:          { role, department, clearance, tenure_days, user_type },   # static</w:t>
        <w:br/>
        <w:t xml:space="preserve">  access_pattern:    { auth_total, auth_fail_rate, auth_off_hours_ratio,</w:t>
        <w:br/>
        <w:t xml:space="preserve">                       auth_unique_sources, auth_unique_dests, auth_methods },</w:t>
        <w:br/>
        <w:t xml:space="preserve">  data_behavior:     { file_total, file_restricted_ratio, file_confidential_ratio,</w:t>
        <w:br/>
        <w:t xml:space="preserve">                       file_write_ratio, file_unique_paths, file_total_bytes,</w:t>
        <w:br/>
        <w:t xml:space="preserve">                       directories_accessed },</w:t>
        <w:br/>
        <w:t xml:space="preserve">  network_footprint: { net_bytes_out, net_unique_dsts, net_external_ratio,</w:t>
        <w:br/>
        <w:t xml:space="preserve">                       dns_unique_domains, dns_nxdomain_ratio,</w:t>
        <w:br/>
        <w:t xml:space="preserve">                       external_ips, dns_domains },</w:t>
        <w:br/>
        <w:t xml:space="preserve">  risk_posture:      { endpoint_total, endpoint_suspicious_ratio, endpoint_max_risk,</w:t>
        <w:br/>
        <w:t xml:space="preserve">                       endpoint_mean_risk, endpoint_unique_processes },</w:t>
        <w:br/>
        <w:t xml:space="preserve">  embeddings:        { zone: [5 x 1536], composite: [1536], context: [4 x 1536] },</w:t>
        <w:br/>
        <w:t xml:space="preserve">  zone_texts:        { ... }     # JSONB audit: the serialized prose per zone</w:t>
        <w:br/>
        <w:t>}</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Dimension (zone)</w:t>
            </w:r>
          </w:p>
        </w:tc>
        <w:tc>
          <w:tcPr>
            <w:tcW w:type="dxa" w:w="1008"/>
            <w:shd w:fill="0D1B2A"/>
          </w:tcPr>
          <w:p>
            <w:pPr>
              <w:jc w:val="center"/>
            </w:pPr>
            <w:r>
              <w:rPr>
                <w:b/>
                <w:color w:val="FFFFFF"/>
                <w:sz w:val="18"/>
              </w:rPr>
              <w:t>Type</w:t>
            </w:r>
          </w:p>
        </w:tc>
        <w:tc>
          <w:tcPr>
            <w:tcW w:type="dxa" w:w="5904"/>
            <w:shd w:fill="0D1B2A"/>
          </w:tcPr>
          <w:p>
            <w:pPr>
              <w:jc w:val="center"/>
            </w:pPr>
            <w:r>
              <w:rPr>
                <w:b/>
                <w:color w:val="FFFFFF"/>
                <w:sz w:val="18"/>
              </w:rPr>
              <w:t>Sub-dimensions (features)</w:t>
            </w:r>
          </w:p>
        </w:tc>
      </w:tr>
      <w:tr>
        <w:tc>
          <w:tcPr>
            <w:tcW w:type="dxa" w:w="2016"/>
          </w:tcPr>
          <w:p>
            <w:r>
              <w:rPr>
                <w:sz w:val="18"/>
              </w:rPr>
              <w:t>Identity</w:t>
            </w:r>
          </w:p>
        </w:tc>
        <w:tc>
          <w:tcPr>
            <w:tcW w:type="dxa" w:w="1008"/>
          </w:tcPr>
          <w:p>
            <w:r>
              <w:rPr>
                <w:sz w:val="18"/>
              </w:rPr>
              <w:t>static</w:t>
            </w:r>
          </w:p>
        </w:tc>
        <w:tc>
          <w:tcPr>
            <w:tcW w:type="dxa" w:w="5904"/>
          </w:tcPr>
          <w:p>
            <w:r>
              <w:rPr>
                <w:sz w:val="18"/>
              </w:rPr>
              <w:t>role, department, clearance, tenure, user_type</w:t>
            </w:r>
          </w:p>
        </w:tc>
      </w:tr>
      <w:tr>
        <w:tc>
          <w:tcPr>
            <w:tcW w:type="dxa" w:w="2016"/>
            <w:shd w:fill="EAF0F6"/>
          </w:tcPr>
          <w:p>
            <w:r>
              <w:rPr>
                <w:sz w:val="18"/>
              </w:rPr>
              <w:t>Access pattern</w:t>
            </w:r>
          </w:p>
        </w:tc>
        <w:tc>
          <w:tcPr>
            <w:tcW w:type="dxa" w:w="1008"/>
            <w:shd w:fill="EAF0F6"/>
          </w:tcPr>
          <w:p>
            <w:r>
              <w:rPr>
                <w:sz w:val="18"/>
              </w:rPr>
              <w:t>dynamic</w:t>
            </w:r>
          </w:p>
        </w:tc>
        <w:tc>
          <w:tcPr>
            <w:tcW w:type="dxa" w:w="5904"/>
            <w:shd w:fill="EAF0F6"/>
          </w:tcPr>
          <w:p>
            <w:r>
              <w:rPr>
                <w:sz w:val="18"/>
              </w:rPr>
              <w:t>auth volume, fail rate, off-hours, unique sources/dests, methods</w:t>
            </w:r>
          </w:p>
        </w:tc>
      </w:tr>
      <w:tr>
        <w:tc>
          <w:tcPr>
            <w:tcW w:type="dxa" w:w="2016"/>
          </w:tcPr>
          <w:p>
            <w:r>
              <w:rPr>
                <w:sz w:val="18"/>
              </w:rPr>
              <w:t>Data behavior</w:t>
            </w:r>
          </w:p>
        </w:tc>
        <w:tc>
          <w:tcPr>
            <w:tcW w:type="dxa" w:w="1008"/>
          </w:tcPr>
          <w:p>
            <w:r>
              <w:rPr>
                <w:sz w:val="18"/>
              </w:rPr>
              <w:t>dynamic</w:t>
            </w:r>
          </w:p>
        </w:tc>
        <w:tc>
          <w:tcPr>
            <w:tcW w:type="dxa" w:w="5904"/>
          </w:tcPr>
          <w:p>
            <w:r>
              <w:rPr>
                <w:sz w:val="18"/>
              </w:rPr>
              <w:t>file volume, restricted/confidential ratio, write ratio, unique paths, bytes, + directory names</w:t>
            </w:r>
          </w:p>
        </w:tc>
      </w:tr>
      <w:tr>
        <w:tc>
          <w:tcPr>
            <w:tcW w:type="dxa" w:w="2016"/>
            <w:shd w:fill="EAF0F6"/>
          </w:tcPr>
          <w:p>
            <w:r>
              <w:rPr>
                <w:sz w:val="18"/>
              </w:rPr>
              <w:t>Network footprint</w:t>
            </w:r>
          </w:p>
        </w:tc>
        <w:tc>
          <w:tcPr>
            <w:tcW w:type="dxa" w:w="1008"/>
            <w:shd w:fill="EAF0F6"/>
          </w:tcPr>
          <w:p>
            <w:r>
              <w:rPr>
                <w:sz w:val="18"/>
              </w:rPr>
              <w:t>dynamic</w:t>
            </w:r>
          </w:p>
        </w:tc>
        <w:tc>
          <w:tcPr>
            <w:tcW w:type="dxa" w:w="5904"/>
            <w:shd w:fill="EAF0F6"/>
          </w:tcPr>
          <w:p>
            <w:r>
              <w:rPr>
                <w:sz w:val="18"/>
              </w:rPr>
              <w:t>bytes out, unique dsts, external ratio, DNS domains, NXDOMAIN ratio, + external IPs/domains</w:t>
            </w:r>
          </w:p>
        </w:tc>
      </w:tr>
      <w:tr>
        <w:tc>
          <w:tcPr>
            <w:tcW w:type="dxa" w:w="2016"/>
          </w:tcPr>
          <w:p>
            <w:r>
              <w:rPr>
                <w:sz w:val="18"/>
              </w:rPr>
              <w:t>Risk posture</w:t>
            </w:r>
          </w:p>
        </w:tc>
        <w:tc>
          <w:tcPr>
            <w:tcW w:type="dxa" w:w="1008"/>
          </w:tcPr>
          <w:p>
            <w:r>
              <w:rPr>
                <w:sz w:val="18"/>
              </w:rPr>
              <w:t>dynamic</w:t>
            </w:r>
          </w:p>
        </w:tc>
        <w:tc>
          <w:tcPr>
            <w:tcW w:type="dxa" w:w="5904"/>
          </w:tcPr>
          <w:p>
            <w:r>
              <w:rPr>
                <w:sz w:val="18"/>
              </w:rPr>
              <w:t>endpoint volume, suspicious ratio, max/mean risk, unique processes</w:t>
            </w:r>
          </w:p>
        </w:tc>
      </w:tr>
    </w:tbl>
    <w:p/>
    <w:p>
      <w:pPr>
        <w:spacing w:after="120"/>
      </w:pPr>
      <w:r>
        <w:rPr>
          <w:b w:val="0"/>
          <w:i w:val="0"/>
          <w:color w:val="000000"/>
          <w:sz w:val="21"/>
        </w:rPr>
        <w:t>Each zone is serialized to interpretive prose and embedded to 1,536 dimensions (qualitative tokens — directory names, IPs, domains — included so they are not lost); the dynamic zones compose into the entity vector under context-adaptive attention. The entity is re-snapshotted weekly, so the snapshot is a TIME SERIES of embeddings — and the trajectory across those weekly snapshots is exactly what the drift and CUSUM stages read.</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hd w:fill="FBEEE6" w:val="clear"/>
        <w:spacing w:after="120"/>
      </w:pPr>
      <w:r>
        <w:rPr>
          <w:b/>
          <w:color w:val="C0392B"/>
          <w:sz w:val="19"/>
        </w:rPr>
        <w:t xml:space="preserve">⟦ WITHHELD ⟧  </w:t>
      </w:r>
      <w:r>
        <w:rPr>
          <w:i/>
          <w:color w:val="444444"/>
          <w:sz w:val="19"/>
        </w:rPr>
        <w:t>Exact CUSUM thresholds and the drift/alignment formulation. Exact values are proprietary and disclosed only in the NDA / full-technical edition of this paper.</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hd w:fill="FBEEE6" w:val="clear"/>
        <w:spacing w:after="120"/>
      </w:pPr>
      <w:r>
        <w:rPr>
          <w:b/>
          <w:color w:val="C0392B"/>
          <w:sz w:val="19"/>
        </w:rPr>
        <w:t xml:space="preserve">⟦ WITHHELD ⟧  </w:t>
      </w:r>
      <w:r>
        <w:rPr>
          <w:i/>
          <w:color w:val="444444"/>
          <w:sz w:val="19"/>
        </w:rPr>
        <w:t>Exact composite weights, regime thresholds, trajectory window, and context attention weight vectors. Exact values are proprietary and disclosed only in the NDA / full-technical edition of this paper.</w:t>
      </w:r>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(10.6%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10.6% (26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12.9), sits within the upper normal tail — which is why recalling all four admits ~26 normal users (the 10.6%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0.838</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0.894</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0.891</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0.970</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pStyle w:val="ListBullet"/>
        <w:ind w:left="360"/>
      </w:pPr>
      <w:r>
        <w:rPr>
          <w:b/>
          <w:sz w:val="21"/>
        </w:rPr>
        <w:t xml:space="preserve">Embedding cache: </w:t>
      </w:r>
      <w:r>
        <w:rPr>
          <w:sz w:val="21"/>
        </w:rPr>
        <w:t>embeddings are cached by content hash, so re-runs and repeated behavior incur no recomputation; new text is embedded in batches.</w:t>
      </w:r>
    </w:p>
    <w:p>
      <w:pPr>
        <w:pStyle w:val="ListBullet"/>
        <w:ind w:left="360"/>
      </w:pPr>
      <w:r>
        <w:rPr>
          <w:b/>
          <w:sz w:val="21"/>
        </w:rPr>
        <w:t xml:space="preserve">Parallel ETL: </w:t>
      </w:r>
      <w:r>
        <w:rPr>
          <w:sz w:val="21"/>
        </w:rPr>
        <w:t>feature ETL and snapshotting are per-entity-per-period and embarrassingly parallel; writes are batched (hundreds of rows per round-trip).</w:t>
      </w:r>
    </w:p>
    <w:p>
      <w:pPr>
        <w:pStyle w:val="ListBullet"/>
        <w:ind w:left="360"/>
      </w:pPr>
      <w:r>
        <w:rPr>
          <w:b/>
          <w:sz w:val="21"/>
        </w:rPr>
        <w:t xml:space="preserve">Vector search: </w:t>
      </w:r>
      <w:r>
        <w:rPr>
          <w:sz w:val="21"/>
        </w:rPr>
        <w:t>pgvector with an HNSW index (m=16, ef_construction=64) gives sub-linear nearest-neighbor search over the embedding store.</w:t>
      </w:r>
    </w:p>
    <w:p>
      <w:pPr>
        <w:pStyle w:val="ListBullet"/>
        <w:ind w:left="360"/>
      </w:pPr>
      <w:r>
        <w:rPr>
          <w:b/>
          <w:sz w:val="21"/>
        </w:rPr>
        <w:t xml:space="preserve">Incremental scoring: </w:t>
      </w:r>
      <w:r>
        <w:rPr>
          <w:sz w:val="21"/>
        </w:rPr>
        <w:t>detection is incremental — only the current period's snapshot and a rolling window are needed, not the full history.</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pStyle w:val="ListBullet"/>
        <w:ind w:left="360"/>
      </w:pPr>
      <w:r>
        <w:rPr>
          <w:b/>
          <w:sz w:val="21"/>
        </w:rPr>
        <w:t xml:space="preserve">Components: </w:t>
      </w:r>
      <w:r>
        <w:rPr>
          <w:sz w:val="21"/>
        </w:rPr>
        <w:t>PostgreSQL + pgvector (vector store + bi-temporal history), a feature/snapshot pipeline, a detection service, and a dashboard — all in Docker.</w:t>
      </w:r>
    </w:p>
    <w:p>
      <w:pPr>
        <w:pStyle w:val="ListBullet"/>
        <w:ind w:left="360"/>
      </w:pPr>
      <w:r>
        <w:rPr>
          <w:b/>
          <w:sz w:val="21"/>
        </w:rPr>
        <w:t xml:space="preserve">Inputs: </w:t>
      </w:r>
      <w:r>
        <w:rPr>
          <w:sz w:val="21"/>
        </w:rPr>
        <w:t>ingest from existing SIEM/log sources; no new instrumentation required.</w:t>
      </w:r>
    </w:p>
    <w:p>
      <w:pPr>
        <w:pStyle w:val="ListBullet"/>
        <w:ind w:left="360"/>
      </w:pPr>
      <w:r>
        <w:rPr>
          <w:b/>
          <w:sz w:val="21"/>
        </w:rPr>
        <w:t xml:space="preserve">Air-gap option: </w:t>
      </w:r>
      <w:r>
        <w:rPr>
          <w:sz w:val="21"/>
        </w:rPr>
        <w:t>for offline/air-gapped operation, the OpenAI embedding model is swapped for a local embedding model — the rest of the pipeline is unchanged.</w:t>
      </w:r>
    </w:p>
    <w:p>
      <w:pPr>
        <w:pStyle w:val="ListBullet"/>
        <w:ind w:left="360"/>
      </w:pPr>
      <w:r>
        <w:rPr>
          <w:b/>
          <w:sz w:val="21"/>
        </w:rPr>
        <w:t xml:space="preserve">Rollout: </w:t>
      </w:r>
      <w:r>
        <w:rPr>
          <w:sz w:val="21"/>
        </w:rPr>
        <w:t>configure → integrate data → baseline (weeks) → shadow alongside the SIEM → operate.</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10.6%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10.6%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Exact hyperparameters, weights, and thresholds are withheld in this edition and provided in the full-technical edition under NDA.</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