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An AI-Native Detection Paradigm for Army Cyber Readiness</w:t>
      </w:r>
    </w:p>
    <w:p/>
    <w:p/>
    <w:p>
      <w:pPr>
        <w:jc w:val="center"/>
      </w:pPr>
      <w:r>
        <w:rPr>
          <w:color w:val="444444"/>
          <w:sz w:val="24"/>
        </w:rPr>
        <w:t>22nd Century Technologies, Inc.</w:t>
        <w:br/>
        <w:t>V-Intelligence UEBA Program</w:t>
        <w:br/>
        <w:br/>
        <w:t>June 2026 — Innovation Brief, Version 1.0</w:t>
        <w:br/>
        <w:br/>
        <w:t>Prepared for: United States Army — Office of the Principal Cyber Advisor to the Secretary of the Army</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Army cyber readiness depends on seeing the threats that operate inside authorized access — insiders and nation-state actors who never trip a threshold. Current SIEMs emit thousands of mostly-false alerts a day, creating the alert fatigue under which real intrusions go uninvestigated. The Principal Cyber Advisor's questions — are we ready, where should limited capability dollars go, what actually closes the gap — are not answered by more alerts, but by a smarter, ranked verdict on which entities are actually drifting toward compromise, and by a high-confidence, zero-noise flag when an entity's behavior matches a known adversary technique.</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Known-bad profiles (zero noise): </w:t>
      </w:r>
      <w:r>
        <w:rPr>
          <w:sz w:val="21"/>
        </w:rPr>
        <w:t>A complementary multi-front detector matches each entity against measurable, label-free known-bad profiles — a C2 beacon's robotic timing, algorithmically-generated DNS, a destination no cohort peer contacts, and cohort-relative collection / LOTL / reconnaissance. On the same corpus it flags all 4 of 4 campaigns at 0 false positives, each alert named by the technique that fired.</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Magnitude-based detectors can flag anomalies but provide no directional intelligence to distinguish threat type or guide analyst triage.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_composite_rank.png"/>
                    <pic:cNvPicPr/>
                  </pic:nvPicPr>
                  <pic:blipFill>
                    <a:blip r:embed="rId11"/>
                    <a:stretch>
                      <a:fillRect/>
                    </a:stretch>
                  </pic:blipFill>
                  <pic:spPr>
                    <a:xfrm>
                      <a:off x="0" y="0"/>
                      <a:ext cx="5669280" cy="3401568"/>
                    </a:xfrm>
                    <a:prstGeom prst="rect"/>
                  </pic:spPr>
                </pic:pic>
              </a:graphicData>
            </a:graphic>
          </wp:inline>
        </w:drawing>
      </w:r>
    </w:p>
    <w:p>
      <w:pPr>
        <w:spacing w:after="160"/>
        <w:jc w:val="center"/>
      </w:pPr>
      <w:r>
        <w:rPr>
          <w:i/>
          <w:color w:val="444444"/>
          <w:sz w:val="18"/>
        </w:rPr>
        <w:t>Composite score by rank: all four campaigns rank above the dashed line that catches all four (8% false positives). The two stealth movers — USR-234 (#7) and USR-042 (#24) — sit above the bulk of the 250-entity population that legacy point-anomaly tools score as normal.</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pPr>
        <w:spacing w:after="120"/>
      </w:pPr>
      <w:r>
        <w:rPr>
          <w:b w:val="0"/>
          <w:i w:val="0"/>
          <w:color w:val="000000"/>
          <w:sz w:val="21"/>
        </w:rPr>
        <w:t>Two detection lenses make the point concrete. The raw-magnitude lens accumulates how numerically far each entity is from its own past; the semantic lens accumulates how far its behavior has drifted in meaning. Each lens catches different campaigns first — and the slow APT crosses neither on drift alone, which is exactly why the known-bad C2/DGA profile and novelty persistence are essential to catch it.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feature_cusum.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i/>
          <w:color w:val="444444"/>
          <w:sz w:val="18"/>
        </w:rPr>
        <w:t>Raw-magnitude drift (CUSUM): first to flag the high-volume reconnaissance campaign (USR-118, week 36); the slow APT (USR-234) never crosses the normal band.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embedding_cusum.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i/>
          <w:color w:val="444444"/>
          <w:sz w:val="18"/>
        </w:rPr>
        <w:t>Semantic drift (CUSUM): flags the insider (USR-156, week 4) and LOTL (USR-042, week 15) roughly 30 weeks earlier than raw magnitude; the slow APT still stays in-band.</w:t>
      </w:r>
    </w:p>
    <w:p>
      <w:pPr>
        <w:pStyle w:val="Heading2"/>
      </w:pPr>
      <w:r>
        <w:rPr>
          <w:color w:val="1B4F72"/>
        </w:rPr>
        <w:t>6.2  Known-Bad Behavioral Profiles — 4 of 4 at Zero False Positives</w:t>
      </w:r>
    </w:p>
    <w:p>
      <w:pPr>
        <w:spacing w:after="120"/>
      </w:pPr>
      <w:r>
        <w:rPr>
          <w:b w:val="0"/>
          <w:i w:val="0"/>
          <w:color w:val="000000"/>
          <w:sz w:val="21"/>
        </w:rPr>
        <w:t>Composite ranking surfaces all four campaigns but, tuned to catch the hardest, carries an 8.1% false-positive cost. A complementary front raises precision to 100%. Instead of asking only 'how far has this entity drifted?', it asks 'does this entity's behavior match a measurable known-bad profile?' Each profile is a label-free fingerprint of an attack technique: a C2 beacon's robotic inter-callout timing, a DGA domain's high entropy resolving to rarely-seen infrastructure, a destination no peer in the role-group contacts, or a collection / LOTL / reconnaissance pattern far outside the cohort. On this corpus every embedded campaign matched at least one profile, and no normal entity matched any:</w:t>
      </w:r>
    </w:p>
    <w:tbl>
      <w:tblPr>
        <w:tblStyle w:val="LightGrid-Accent1"/>
        <w:tblW w:type="auto" w:w="0"/>
        <w:jc w:val="center"/>
        <w:tblLook w:firstColumn="1" w:firstRow="1" w:lastColumn="0" w:lastRow="0" w:noHBand="0" w:noVBand="1" w:val="04A0"/>
      </w:tblPr>
      <w:tblGrid>
        <w:gridCol w:w="3135"/>
        <w:gridCol w:w="3135"/>
        <w:gridCol w:w="3135"/>
      </w:tblGrid>
      <w:tr>
        <w:tc>
          <w:tcPr>
            <w:tcW w:type="dxa" w:w="1584"/>
            <w:shd w:fill="0D1B2A"/>
          </w:tcPr>
          <w:p>
            <w:pPr>
              <w:jc w:val="center"/>
            </w:pPr>
            <w:r>
              <w:rPr>
                <w:b/>
                <w:color w:val="FFFFFF"/>
                <w:sz w:val="18"/>
              </w:rPr>
              <w:t>Entity</w:t>
            </w:r>
          </w:p>
        </w:tc>
        <w:tc>
          <w:tcPr>
            <w:tcW w:type="dxa" w:w="2880"/>
            <w:shd w:fill="0D1B2A"/>
          </w:tcPr>
          <w:p>
            <w:pPr>
              <w:jc w:val="center"/>
            </w:pPr>
            <w:r>
              <w:rPr>
                <w:b/>
                <w:color w:val="FFFFFF"/>
                <w:sz w:val="18"/>
              </w:rPr>
              <w:t>Campaign</w:t>
            </w:r>
          </w:p>
        </w:tc>
        <w:tc>
          <w:tcPr>
            <w:tcW w:type="dxa" w:w="4896"/>
            <w:shd w:fill="0D1B2A"/>
          </w:tcPr>
          <w:p>
            <w:pPr>
              <w:jc w:val="center"/>
            </w:pPr>
            <w:r>
              <w:rPr>
                <w:b/>
                <w:color w:val="FFFFFF"/>
                <w:sz w:val="18"/>
              </w:rPr>
              <w:t>Profile that fired</w:t>
            </w:r>
          </w:p>
        </w:tc>
      </w:tr>
      <w:tr>
        <w:tc>
          <w:tcPr>
            <w:tcW w:type="dxa" w:w="1584"/>
          </w:tcPr>
          <w:p>
            <w:r>
              <w:rPr>
                <w:sz w:val="18"/>
              </w:rPr>
              <w:t>USR-156</w:t>
            </w:r>
          </w:p>
        </w:tc>
        <w:tc>
          <w:tcPr>
            <w:tcW w:type="dxa" w:w="2880"/>
          </w:tcPr>
          <w:p>
            <w:r>
              <w:rPr>
                <w:sz w:val="18"/>
              </w:rPr>
              <w:t>14-month insider</w:t>
            </w:r>
          </w:p>
        </w:tc>
        <w:tc>
          <w:tcPr>
            <w:tcW w:type="dxa" w:w="4896"/>
          </w:tcPr>
          <w:p>
            <w:r>
              <w:rPr>
                <w:sz w:val="18"/>
              </w:rPr>
              <w:t>Cohort-relative mass collection + cohort-rare destinations</w:t>
            </w:r>
          </w:p>
        </w:tc>
      </w:tr>
      <w:tr>
        <w:tc>
          <w:tcPr>
            <w:tcW w:type="dxa" w:w="1584"/>
            <w:shd w:fill="EAF0F6"/>
          </w:tcPr>
          <w:p>
            <w:r>
              <w:rPr>
                <w:sz w:val="18"/>
              </w:rPr>
              <w:t>USR-234</w:t>
            </w:r>
          </w:p>
        </w:tc>
        <w:tc>
          <w:tcPr>
            <w:tcW w:type="dxa" w:w="2880"/>
            <w:shd w:fill="EAF0F6"/>
          </w:tcPr>
          <w:p>
            <w:r>
              <w:rPr>
                <w:sz w:val="18"/>
              </w:rPr>
              <w:t>417-day slow APT</w:t>
            </w:r>
          </w:p>
        </w:tc>
        <w:tc>
          <w:tcPr>
            <w:tcW w:type="dxa" w:w="4896"/>
            <w:shd w:fill="EAF0F6"/>
          </w:tcPr>
          <w:p>
            <w:r>
              <w:rPr>
                <w:sz w:val="18"/>
              </w:rPr>
              <w:t>C2-beacon rhythm (robotic timing) + DGA-DNS domains</w:t>
            </w:r>
          </w:p>
        </w:tc>
      </w:tr>
      <w:tr>
        <w:tc>
          <w:tcPr>
            <w:tcW w:type="dxa" w:w="1584"/>
          </w:tcPr>
          <w:p>
            <w:r>
              <w:rPr>
                <w:sz w:val="18"/>
              </w:rPr>
              <w:t>USR-042</w:t>
            </w:r>
          </w:p>
        </w:tc>
        <w:tc>
          <w:tcPr>
            <w:tcW w:type="dxa" w:w="2880"/>
          </w:tcPr>
          <w:p>
            <w:r>
              <w:rPr>
                <w:sz w:val="18"/>
              </w:rPr>
              <w:t>Volt Typhoon (LOTL)</w:t>
            </w:r>
          </w:p>
        </w:tc>
        <w:tc>
          <w:tcPr>
            <w:tcW w:type="dxa" w:w="4896"/>
          </w:tcPr>
          <w:p>
            <w:r>
              <w:rPr>
                <w:sz w:val="18"/>
              </w:rPr>
              <w:t>Living-off-the-land process profile vs role-group</w:t>
            </w:r>
          </w:p>
        </w:tc>
      </w:tr>
      <w:tr>
        <w:tc>
          <w:tcPr>
            <w:tcW w:type="dxa" w:w="1584"/>
            <w:shd w:fill="EAF0F6"/>
          </w:tcPr>
          <w:p>
            <w:r>
              <w:rPr>
                <w:sz w:val="18"/>
              </w:rPr>
              <w:t>USR-118</w:t>
            </w:r>
          </w:p>
        </w:tc>
        <w:tc>
          <w:tcPr>
            <w:tcW w:type="dxa" w:w="2880"/>
            <w:shd w:fill="EAF0F6"/>
          </w:tcPr>
          <w:p>
            <w:r>
              <w:rPr>
                <w:sz w:val="18"/>
              </w:rPr>
              <w:t>Salt Typhoon (telecom)</w:t>
            </w:r>
          </w:p>
        </w:tc>
        <w:tc>
          <w:tcPr>
            <w:tcW w:type="dxa" w:w="4896"/>
            <w:shd w:fill="EAF0F6"/>
          </w:tcPr>
          <w:p>
            <w:r>
              <w:rPr>
                <w:sz w:val="18"/>
              </w:rPr>
              <w:t>Cohort-relative reconnaissance fan-out</w:t>
            </w:r>
          </w:p>
        </w:tc>
      </w:tr>
    </w:tbl>
    <w:p/>
    <w:p>
      <w:pPr>
        <w:pBdr>
          <w:left w:val="single" w:sz="24" w:space="12" w:color="0E6B8A"/>
        </w:pBdr>
        <w:shd w:fill="EAF4F7" w:val="clear"/>
        <w:spacing w:before="160" w:after="160"/>
      </w:pPr>
      <w:r>
        <w:rPr>
          <w:b/>
          <w:color w:val="0D1B2A"/>
          <w:sz w:val="21"/>
        </w:rPr>
        <w:t>Multi-front result: 4 of 4 campaigns detected at 0 false positives, each alert named by the technique that fired — auditable evidence, not an opaque anomaly score. Operationally the two fronts run together: the known-bad profiles give high-confidence, zero-noise alerts, while composite ranking catches novel variants the named profiles do not yet cover.</w:t>
      </w:r>
    </w:p>
    <w:p>
      <w:pPr>
        <w:jc w:val="center"/>
      </w:pPr>
      <w:r>
        <w:drawing>
          <wp:inline xmlns:a="http://schemas.openxmlformats.org/drawingml/2006/main" xmlns:pic="http://schemas.openxmlformats.org/drawingml/2006/picture">
            <wp:extent cx="5669280" cy="4973053"/>
            <wp:docPr id="6" name="Picture 6"/>
            <wp:cNvGraphicFramePr>
              <a:graphicFrameLocks noChangeAspect="1"/>
            </wp:cNvGraphicFramePr>
            <a:graphic>
              <a:graphicData uri="http://schemas.openxmlformats.org/drawingml/2006/picture">
                <pic:pic>
                  <pic:nvPicPr>
                    <pic:cNvPr id="0" name="fig_radar.png"/>
                    <pic:cNvPicPr/>
                  </pic:nvPicPr>
                  <pic:blipFill>
                    <a:blip r:embed="rId14"/>
                    <a:stretch>
                      <a:fillRect/>
                    </a:stretch>
                  </pic:blipFill>
                  <pic:spPr>
                    <a:xfrm>
                      <a:off x="0" y="0"/>
                      <a:ext cx="5669280" cy="4973053"/>
                    </a:xfrm>
                    <a:prstGeom prst="rect"/>
                  </pic:spPr>
                </pic:pic>
              </a:graphicData>
            </a:graphic>
          </wp:inline>
        </w:drawing>
      </w:r>
    </w:p>
    <w:p>
      <w:pPr>
        <w:spacing w:after="160"/>
        <w:jc w:val="center"/>
      </w:pPr>
      <w:r>
        <w:rPr>
          <w:i/>
          <w:color w:val="444444"/>
          <w:sz w:val="18"/>
        </w:rPr>
        <w:t>Five-phase separation: each campaign is extreme on a different behavioral phase (USR-234 on novelty persistence, USR-156 on signal strength and breadth). No normal entity reaches these extremes on multiple phases at once.</w:t>
      </w:r>
    </w:p>
    <w:p>
      <w:r>
        <w:br w:type="page"/>
      </w:r>
    </w:p>
    <w:p>
      <w:pPr>
        <w:pStyle w:val="Heading1"/>
      </w:pPr>
      <w:r>
        <w:rPr>
          <w:color w:val="0D1B2A"/>
        </w:rPr>
        <w:t>7. What This Enables for Your Mission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Exact algorithm formulations, parameters, weights, and thresholds are withheld in this edition and provided in the NDA / technical-exchange edition under a mutual non-disclosure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