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Behavioral Intelligence for Supply Chain and Logistics Network Defense</w:t>
      </w:r>
    </w:p>
    <w:p/>
    <w:p/>
    <w:p>
      <w:pPr>
        <w:jc w:val="center"/>
      </w:pPr>
      <w:r>
        <w:rPr>
          <w:color w:val="444444"/>
          <w:sz w:val="24"/>
        </w:rPr>
        <w:t>22nd Century Technologies, Inc.</w:t>
        <w:br/>
        <w:t>V-Intelligence UEBA Program</w:t>
        <w:br/>
        <w:br/>
        <w:t>June 2026 — Version 2.0</w:t>
        <w:br/>
        <w:br/>
        <w:t>Prepared for: Defense Logistics Agency — CIO and Program Executive Office</w:t>
      </w:r>
    </w:p>
    <w:p>
      <w:r>
        <w:br w:type="page"/>
      </w:r>
    </w:p>
    <w:p>
      <w:pPr>
        <w:pStyle w:val="Heading1"/>
      </w:pPr>
      <w:r>
        <w:rPr>
          <w:color w:val="0D1B2A"/>
        </w:rPr>
        <w:t>1. Executive Summary</w:t>
      </w:r>
    </w:p>
    <w:p>
      <w:pPr>
        <w:spacing w:after="40"/>
      </w:pPr>
      <w:r>
        <w:rPr>
          <w:b/>
          <w:i w:val="0"/>
          <w:color w:val="000000"/>
          <w:sz w:val="21"/>
        </w:rPr>
        <w:t>The Supply Chain Threat</w:t>
      </w:r>
    </w:p>
    <w:p>
      <w:pPr>
        <w:spacing w:after="120"/>
      </w:pPr>
      <w:r>
        <w:rPr>
          <w:b w:val="0"/>
          <w:i w:val="0"/>
          <w:color w:val="000000"/>
          <w:sz w:val="21"/>
        </w:rPr>
        <w:t>Defense logistics networks process millions of transactions daily across global supply chains — requisitions, inventory movements, vendor communications, and financial transfers. An insider with legitimate access to logistics systems can systematically exfiltrate procurement data, manipulate supply chain records, or establish covert channels to adversary-controlled infrastructure — all while generating transaction volumes indistinguishable from normal operations.</w:t>
      </w:r>
    </w:p>
    <w:p>
      <w:pPr>
        <w:spacing w:after="120"/>
      </w:pPr>
      <w:r>
        <w:rPr>
          <w:b w:val="0"/>
          <w:i w:val="0"/>
          <w:color w:val="000000"/>
          <w:sz w:val="21"/>
        </w:rPr>
        <w:t>DLA's mission-critical supply chain infrastructure is a high-value target for nation-state actors seeking to disrupt military readiness. The Volt Typhoon campaign (CISA AA23-144A) specifically targeted critical infrastructure using living-off-the-land techniques that evade traditional detection. V-Intelligence UEBA addresses this gap by detecting behavioral changes in HOW logistics personnel interact with systems, not just WHETHER they exceed volume thresholds.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an 8-month insider threat, a 180-day slow APT with C2 beaconing, a 115-day Volt Typhoon living-off-the-land campaign, and a 100-day Salt Typhoon telecom infrastructure attack — we demonstrate that:</w:t>
      </w:r>
    </w:p>
    <w:p>
      <w:pPr>
        <w:pStyle w:val="ListBullet"/>
        <w:ind w:left="360"/>
      </w:pPr>
      <w:r>
        <w:rPr>
          <w:b/>
          <w:sz w:val="21"/>
        </w:rPr>
        <w:t xml:space="preserve">Finding 1: </w:t>
      </w:r>
      <w:r>
        <w:rPr>
          <w:sz w:val="21"/>
        </w:rPr>
        <w:t>Traditional anomaly detection (Isolation Forest, SVM, LOF, Z-Score) detects 0 of 4 attackers at operationally acceptable false positive rates. Every attack user's individual feature values remain within normal statistical ranges.</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detects all 4 attack types at 8.5% false positive rate (21 false positives out of 246 normal users).</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(8-month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(180-day C2)</w:t>
            </w:r>
          </w:p>
        </w:tc>
        <w:tc>
          <w:tcPr>
            <w:tcW w:type="dxa" w:w="3600"/>
            <w:shd w:fill="EAF0F6"/>
          </w:tcPr>
          <w:p>
            <w:r>
              <w:rPr>
                <w:sz w:val="18"/>
              </w:rPr>
              <w:t>Rules check for known C2 domains</w:t>
              <w:br/>
              <w:t>or unusual ports</w:t>
            </w:r>
          </w:p>
        </w:tc>
        <w:tc>
          <w:tcPr>
            <w:tcW w:type="dxa" w:w="4320"/>
            <w:shd w:fill="EAF0F6"/>
          </w:tcPr>
          <w:p>
            <w:r>
              <w:rPr>
                <w:sz w:val="18"/>
              </w:rPr>
              <w:t>C2 beacons every 6 hours over HTTPS.</w:t>
              <w:br/>
              <w:t>Domain is newly registered (no reputation).</w:t>
              <w:br/>
              <w:t>Traffic volume is 12KB — invisible in enterprise traffic.</w:t>
            </w:r>
          </w:p>
        </w:tc>
      </w:tr>
      <w:tr>
        <w:tc>
          <w:tcPr>
            <w:tcW w:type="dxa" w:w="2160"/>
          </w:tcPr>
          <w:p>
            <w:r>
              <w:rPr>
                <w:sz w:val="18"/>
              </w:rPr>
              <w:t>Volt Typhoon LOTL</w:t>
              <w:br/>
              <w:t>(115-day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(100-day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across the four established traditional algorithms operating on 23 behavioral features, none detected the 8-month insider threat, the slow APT, or the telecom pivot at an operationally acceptable false positive rate. The strongest traditional result was Z-Score, which caught only the most overt campaign — the living-off-the-land intrusion — and missed the three that matter most, including the insider threat, arguably the most damaging threat type.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180-day APT C2 beacon:</w:t>
      </w:r>
    </w:p>
    <w:p>
      <w:pPr>
        <w:pStyle w:val="ListBullet"/>
        <w:ind w:left="360"/>
      </w:pPr>
      <w:r>
        <w:rPr>
          <w:sz w:val="21"/>
        </w:rPr>
        <w:t>Week 1-4: Establish presence. 2 DNS queries per day to DGA domain. Traffic: 8KB/day. Indistinguishable from software update checks.</w:t>
      </w:r>
    </w:p>
    <w:p>
      <w:pPr>
        <w:pStyle w:val="ListBullet"/>
        <w:ind w:left="360"/>
      </w:pPr>
      <w:r>
        <w:rPr>
          <w:sz w:val="21"/>
        </w:rPr>
        <w:t>Week 5-12: Light reconnaissance. Beacons every 6 hours. Data staging: 50KB per exfiltration. Below any volume threshold.</w:t>
      </w:r>
    </w:p>
    <w:p>
      <w:pPr>
        <w:pStyle w:val="ListBullet"/>
        <w:ind w:left="360"/>
      </w:pPr>
      <w:r>
        <w:rPr>
          <w:sz w:val="21"/>
        </w:rPr>
        <w:t>Week 13-26: Gradual escalation. Privilege probing every 30 days. Data staging every 17 days. Each individual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an 8-month (32-week)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180-day (26-week) slow APT campaign with Command and Control (C2) beaconing as the primary operational mechanism:</w:t>
      </w:r>
    </w:p>
    <w:p>
      <w:pPr>
        <w:pStyle w:val="ListBullet"/>
        <w:ind w:left="360"/>
      </w:pPr>
      <w:r>
        <w:rPr>
          <w:sz w:val="21"/>
        </w:rPr>
        <w:t>C2 beacons every 6 hours (4 per day) — periodic but low-frequency</w:t>
      </w:r>
    </w:p>
    <w:p>
      <w:pPr>
        <w:pStyle w:val="ListBullet"/>
        <w:ind w:left="360"/>
      </w:pPr>
      <w:r>
        <w:rPr>
          <w:sz w:val="21"/>
        </w:rPr>
        <w:t>DGA (Domain Generation Algorithm) DNS queries: 1-3 per day</w:t>
      </w:r>
    </w:p>
    <w:p>
      <w:pPr>
        <w:pStyle w:val="ListBullet"/>
        <w:ind w:left="360"/>
      </w:pPr>
      <w:r>
        <w:rPr>
          <w:sz w:val="21"/>
        </w:rPr>
        <w:t>Data staging every 17 days — small batches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115-day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100-day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300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19 weeks = 4,750 vectors</w:t>
            </w:r>
          </w:p>
        </w:tc>
      </w:tr>
      <w:tr>
        <w:tc>
          <w:tcPr>
            <w:tcW w:type="dxa" w:w="2880"/>
          </w:tcPr>
          <w:p>
            <w:r>
              <w:rPr>
                <w:sz w:val="18"/>
              </w:rPr>
              <w:t>Attack campaigns</w:t>
            </w:r>
          </w:p>
        </w:tc>
        <w:tc>
          <w:tcPr>
            <w:tcW w:type="dxa" w:w="7200"/>
          </w:tcPr>
          <w:p>
            <w:r>
              <w:rPr>
                <w:sz w:val="18"/>
              </w:rPr>
              <w:t>4 long-duration campaigns (100-240 days each)</w:t>
            </w:r>
          </w:p>
        </w:tc>
      </w:tr>
      <w:tr>
        <w:tc>
          <w:tcPr>
            <w:tcW w:type="dxa" w:w="2880"/>
            <w:shd w:fill="EAF0F6"/>
          </w:tcPr>
          <w:p>
            <w:r>
              <w:rPr>
                <w:sz w:val="18"/>
              </w:rPr>
              <w:t>Analysis window</w:t>
            </w:r>
          </w:p>
        </w:tc>
        <w:tc>
          <w:tcPr>
            <w:tcW w:type="dxa" w:w="7200"/>
            <w:shd w:fill="EAF0F6"/>
          </w:tcPr>
          <w:p>
            <w:r>
              <w:rPr>
                <w:sz w:val="18"/>
              </w:rPr>
              <w:t>19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8.5% (21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8 months</w:t>
              <w:br/>
              <w:t>(32 weeks)</w:t>
            </w:r>
          </w:p>
        </w:tc>
        <w:tc>
          <w:tcPr>
            <w:tcW w:type="dxa" w:w="1008"/>
          </w:tcPr>
          <w:p>
            <w:r>
              <w:rPr>
                <w:sz w:val="18"/>
              </w:rPr>
              <w:t>USR-156</w:t>
            </w:r>
          </w:p>
        </w:tc>
        <w:tc>
          <w:tcPr>
            <w:tcW w:type="dxa" w:w="4752"/>
          </w:tcPr>
          <w:p>
            <w:r>
              <w:rPr>
                <w:sz w:val="18"/>
              </w:rPr>
              <w:t>T1078 (Valid Accounts), T1083 (File Discovery),</w:t>
              <w:br/>
              <w:t>T1005 (Local Data), T1052 (Exfil via Physical),</w:t>
              <w:br/>
              <w:t>T1048 (Exfil Over Alternative Protocol)</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180 days</w:t>
              <w:br/>
              <w:t>(26 weeks)</w:t>
            </w:r>
          </w:p>
        </w:tc>
        <w:tc>
          <w:tcPr>
            <w:tcW w:type="dxa" w:w="1008"/>
            <w:shd w:fill="EAF0F6"/>
          </w:tcPr>
          <w:p>
            <w:r>
              <w:rPr>
                <w:sz w:val="18"/>
              </w:rPr>
              <w:t>USR-234</w:t>
            </w:r>
          </w:p>
        </w:tc>
        <w:tc>
          <w:tcPr>
            <w:tcW w:type="dxa" w:w="4752"/>
            <w:shd w:fill="EAF0F6"/>
          </w:tcPr>
          <w:p>
            <w:r>
              <w:rPr>
                <w:sz w:val="18"/>
              </w:rPr>
              <w:t>T1071 (App Layer Protocol), T1573 (Encrypted Channel),</w:t>
              <w:br/>
              <w:t>T1568 (Dynamic Resolution), 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115 days</w:t>
              <w:br/>
              <w:t>(16 weeks)</w:t>
            </w:r>
          </w:p>
        </w:tc>
        <w:tc>
          <w:tcPr>
            <w:tcW w:type="dxa" w:w="1008"/>
          </w:tcPr>
          <w:p>
            <w:r>
              <w:rPr>
                <w:sz w:val="18"/>
              </w:rPr>
              <w:t>USR-042</w:t>
            </w:r>
          </w:p>
        </w:tc>
        <w:tc>
          <w:tcPr>
            <w:tcW w:type="dxa" w:w="4752"/>
          </w:tcPr>
          <w:p>
            <w:r>
              <w:rPr>
                <w:sz w:val="18"/>
              </w:rPr>
              <w:t>T1059 (Command Scripting), T1021 (Remote Services),</w:t>
              <w:br/>
              <w:t>T1047 (WMI), T1003 (Credential Dumping),</w:t>
              <w:br/>
              <w:t>T1105 (Ingress Tool Transfer)</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100 days</w:t>
              <w:br/>
              <w:t>(14 weeks)</w:t>
            </w:r>
          </w:p>
        </w:tc>
        <w:tc>
          <w:tcPr>
            <w:tcW w:type="dxa" w:w="1008"/>
            <w:shd w:fill="EAF0F6"/>
          </w:tcPr>
          <w:p>
            <w:r>
              <w:rPr>
                <w:sz w:val="18"/>
              </w:rPr>
              <w:t>USR-118</w:t>
            </w:r>
          </w:p>
        </w:tc>
        <w:tc>
          <w:tcPr>
            <w:tcW w:type="dxa" w:w="4752"/>
            <w:shd w:fill="EAF0F6"/>
          </w:tcPr>
          <w:p>
            <w:r>
              <w:rPr>
                <w:sz w:val="18"/>
              </w:rPr>
              <w:t>T1195 (Supply Chain), T1071 (App Layer Protocol),</w:t>
              <w:br/>
              <w:t>T1005 (Local Data), T1041 (Exfil Over C2),</w:t>
              <w:br/>
              <w:t>T1568 (Dynamic Resolution)</w:t>
            </w:r>
          </w:p>
        </w:tc>
      </w:tr>
    </w:tbl>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Isolation Forest</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13</w:t>
            </w:r>
          </w:p>
        </w:tc>
        <w:tc>
          <w:tcPr>
            <w:tcW w:type="dxa" w:w="864"/>
          </w:tcPr>
          <w:p>
            <w:r>
              <w:rPr>
                <w:sz w:val="18"/>
              </w:rPr>
              <w:t>5.3%</w:t>
            </w:r>
          </w:p>
        </w:tc>
      </w:tr>
      <w:tr>
        <w:tc>
          <w:tcPr>
            <w:tcW w:type="dxa" w:w="2016"/>
            <w:shd w:fill="EAF0F6"/>
          </w:tcPr>
          <w:p>
            <w:r>
              <w:rPr>
                <w:sz w:val="18"/>
              </w:rPr>
              <w:t>Local Outlier Factor</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720"/>
            <w:shd w:fill="EAF0F6"/>
          </w:tcPr>
          <w:p>
            <w:r>
              <w:rPr>
                <w:sz w:val="18"/>
              </w:rPr>
              <w:t>0/4</w:t>
            </w:r>
          </w:p>
        </w:tc>
        <w:tc>
          <w:tcPr>
            <w:tcW w:type="dxa" w:w="576"/>
            <w:shd w:fill="EAF0F6"/>
          </w:tcPr>
          <w:p>
            <w:r>
              <w:rPr>
                <w:sz w:val="18"/>
              </w:rPr>
              <w:t>11</w:t>
            </w:r>
          </w:p>
        </w:tc>
        <w:tc>
          <w:tcPr>
            <w:tcW w:type="dxa" w:w="864"/>
            <w:shd w:fill="EAF0F6"/>
          </w:tcPr>
          <w:p>
            <w:r>
              <w:rPr>
                <w:sz w:val="18"/>
              </w:rPr>
              <w:t>4.5%</w:t>
            </w:r>
          </w:p>
        </w:tc>
      </w:tr>
      <w:tr>
        <w:tc>
          <w:tcPr>
            <w:tcW w:type="dxa" w:w="2016"/>
          </w:tcPr>
          <w:p>
            <w:r>
              <w:rPr>
                <w:sz w:val="18"/>
              </w:rPr>
              <w:t>One-Class SVM</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36</w:t>
            </w:r>
          </w:p>
        </w:tc>
        <w:tc>
          <w:tcPr>
            <w:tcW w:type="dxa" w:w="864"/>
          </w:tcPr>
          <w:p>
            <w:r>
              <w:rPr>
                <w:sz w:val="18"/>
              </w:rPr>
              <w:t>14.6%</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DETECTED</w:t>
            </w:r>
          </w:p>
        </w:tc>
        <w:tc>
          <w:tcPr>
            <w:tcW w:type="dxa" w:w="864"/>
            <w:shd w:fill="EAF0F6"/>
          </w:tcPr>
          <w:p>
            <w:r>
              <w:rPr>
                <w:sz w:val="18"/>
              </w:rPr>
              <w:t>MISSED</w:t>
            </w:r>
          </w:p>
        </w:tc>
        <w:tc>
          <w:tcPr>
            <w:tcW w:type="dxa" w:w="720"/>
            <w:shd w:fill="EAF0F6"/>
          </w:tcPr>
          <w:p>
            <w:r>
              <w:rPr>
                <w:sz w:val="18"/>
              </w:rPr>
              <w:t>1/4</w:t>
            </w:r>
          </w:p>
        </w:tc>
        <w:tc>
          <w:tcPr>
            <w:tcW w:type="dxa" w:w="576"/>
            <w:shd w:fill="EAF0F6"/>
          </w:tcPr>
          <w:p>
            <w:r>
              <w:rPr>
                <w:sz w:val="18"/>
              </w:rPr>
              <w:t>24</w:t>
            </w:r>
          </w:p>
        </w:tc>
        <w:tc>
          <w:tcPr>
            <w:tcW w:type="dxa" w:w="864"/>
            <w:shd w:fill="EAF0F6"/>
          </w:tcPr>
          <w:p>
            <w:r>
              <w:rPr>
                <w:sz w:val="18"/>
              </w:rPr>
              <w:t>9.8%</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DETECTED</w:t>
            </w:r>
          </w:p>
        </w:tc>
        <w:tc>
          <w:tcPr>
            <w:tcW w:type="dxa" w:w="864"/>
          </w:tcPr>
          <w:p>
            <w:r>
              <w:rPr>
                <w:sz w:val="18"/>
              </w:rPr>
              <w:t>DETECTED</w:t>
            </w:r>
          </w:p>
        </w:tc>
        <w:tc>
          <w:tcPr>
            <w:tcW w:type="dxa" w:w="864"/>
          </w:tcPr>
          <w:p>
            <w:r>
              <w:rPr>
                <w:sz w:val="18"/>
              </w:rPr>
              <w:t>DETECTED</w:t>
            </w:r>
          </w:p>
        </w:tc>
        <w:tc>
          <w:tcPr>
            <w:tcW w:type="dxa" w:w="864"/>
          </w:tcPr>
          <w:p>
            <w:r>
              <w:rPr>
                <w:sz w:val="18"/>
              </w:rPr>
              <w:t>DETECTED</w:t>
            </w:r>
          </w:p>
        </w:tc>
        <w:tc>
          <w:tcPr>
            <w:tcW w:type="dxa" w:w="720"/>
          </w:tcPr>
          <w:p>
            <w:r>
              <w:rPr>
                <w:sz w:val="18"/>
              </w:rPr>
              <w:t>4/4</w:t>
            </w:r>
          </w:p>
        </w:tc>
        <w:tc>
          <w:tcPr>
            <w:tcW w:type="dxa" w:w="576"/>
          </w:tcPr>
          <w:p>
            <w:r>
              <w:rPr>
                <w:sz w:val="18"/>
              </w:rPr>
              <w:t>21</w:t>
            </w:r>
          </w:p>
        </w:tc>
        <w:tc>
          <w:tcPr>
            <w:tcW w:type="dxa" w:w="864"/>
          </w:tcPr>
          <w:p>
            <w:r>
              <w:rPr>
                <w:sz w:val="18"/>
              </w:rPr>
              <w:t>8.5%</w:t>
            </w:r>
          </w:p>
        </w:tc>
      </w:tr>
    </w:tbl>
    <w:p/>
    <w:p>
      <w:pPr>
        <w:spacing w:after="120"/>
      </w:pPr>
      <w:r>
        <w:rPr>
          <w:b w:val="0"/>
          <w:i w:val="0"/>
          <w:color w:val="000000"/>
          <w:sz w:val="21"/>
        </w:rPr>
        <w:t>No traditional algorithm detects the insider threat or the two nation-state campaigns at any acceptable false positive rate — every attack user's individual feature values remain within normal statistical ranges. Z-Score catches only the Volt Typhoon LOTL campaign, which produces the most overt single-feature spikes, and even then at a 9.8% false positive rate. Composite scoring's 4-of-4 detection at 8.5% false positive rate is achieved by fusing five behavioral phases rather than thresholding any single metric.</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51.3</w:t>
            </w:r>
          </w:p>
        </w:tc>
        <w:tc>
          <w:tcPr>
            <w:tcW w:type="dxa" w:w="720"/>
          </w:tcPr>
          <w:p>
            <w:r>
              <w:rPr>
                <w:sz w:val="18"/>
              </w:rPr>
              <w:t>#1</w:t>
            </w:r>
          </w:p>
        </w:tc>
        <w:tc>
          <w:tcPr>
            <w:tcW w:type="dxa" w:w="864"/>
          </w:tcPr>
          <w:p>
            <w:r>
              <w:rPr>
                <w:sz w:val="18"/>
              </w:rPr>
              <w:t>29.9</w:t>
            </w:r>
          </w:p>
        </w:tc>
        <w:tc>
          <w:tcPr>
            <w:tcW w:type="dxa" w:w="1008"/>
          </w:tcPr>
          <w:p>
            <w:r>
              <w:rPr>
                <w:sz w:val="18"/>
              </w:rPr>
              <w:t>18</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19.4</w:t>
            </w:r>
          </w:p>
        </w:tc>
        <w:tc>
          <w:tcPr>
            <w:tcW w:type="dxa" w:w="720"/>
          </w:tcPr>
          <w:p>
            <w:r>
              <w:rPr>
                <w:sz w:val="18"/>
              </w:rPr>
              <w:t>#7</w:t>
            </w:r>
          </w:p>
        </w:tc>
        <w:tc>
          <w:tcPr>
            <w:tcW w:type="dxa" w:w="864"/>
          </w:tcPr>
          <w:p>
            <w:r>
              <w:rPr>
                <w:sz w:val="18"/>
              </w:rPr>
              <w:t>4.5</w:t>
            </w:r>
          </w:p>
        </w:tc>
        <w:tc>
          <w:tcPr>
            <w:tcW w:type="dxa" w:w="1008"/>
          </w:tcPr>
          <w:p>
            <w:r>
              <w:rPr>
                <w:sz w:val="18"/>
              </w:rPr>
              <w:t>1</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13.7</w:t>
            </w:r>
          </w:p>
        </w:tc>
        <w:tc>
          <w:tcPr>
            <w:tcW w:type="dxa" w:w="720"/>
            <w:shd w:fill="EAF0F6"/>
          </w:tcPr>
          <w:p>
            <w:r>
              <w:rPr>
                <w:sz w:val="18"/>
              </w:rPr>
              <w:t>#24</w:t>
            </w:r>
          </w:p>
        </w:tc>
        <w:tc>
          <w:tcPr>
            <w:tcW w:type="dxa" w:w="864"/>
            <w:shd w:fill="EAF0F6"/>
          </w:tcPr>
          <w:p>
            <w:r>
              <w:rPr>
                <w:sz w:val="18"/>
              </w:rPr>
              <w:t>6.4</w:t>
            </w:r>
          </w:p>
        </w:tc>
        <w:tc>
          <w:tcPr>
            <w:tcW w:type="dxa" w:w="1008"/>
            <w:shd w:fill="EAF0F6"/>
          </w:tcPr>
          <w:p>
            <w:r>
              <w:rPr>
                <w:sz w:val="18"/>
              </w:rPr>
              <w:t>11</w:t>
            </w:r>
          </w:p>
        </w:tc>
        <w:tc>
          <w:tcPr>
            <w:tcW w:type="dxa" w:w="1008"/>
            <w:shd w:fill="EAF0F6"/>
          </w:tcPr>
          <w:p>
            <w:r>
              <w:rPr>
                <w:sz w:val="18"/>
              </w:rPr>
              <w:t>3.8</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18 features beyond 1.5 standard deviations. Despite this, no single feature crosses a traditional detection threshold, which is why all four traditional algorithms miss it.</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8-month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#24:</w:t>
      </w:r>
    </w:p>
    <w:p>
      <w:pPr>
        <w:spacing w:after="120"/>
      </w:pPr>
      <w:r>
        <w:rPr>
          <w:b w:val="0"/>
          <w:i w:val="0"/>
          <w:color w:val="000000"/>
          <w:sz w:val="21"/>
        </w:rPr>
        <w:t>The living-off-the-land campaign uses legitimate administrative tools, producing a broad but moderate behavioral footprint — 11 features elevated beyond 1.5 standard deviations across access and endpoint behavior. It ranks #24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false positive rate in isolation but false positive rate at a given detection rate. A method with a low false positive rate that detects none of the actual attacks provides no operational value. The traditional algorithms achieve their low false positive rates precisely because they are insensitive to the behavioral changes the attackers exhibit — they are quiet because they are blind.</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0 of 4</w:t>
            </w:r>
          </w:p>
        </w:tc>
        <w:tc>
          <w:tcPr>
            <w:tcW w:type="dxa" w:w="1008"/>
          </w:tcPr>
          <w:p>
            <w:r>
              <w:rPr>
                <w:sz w:val="18"/>
              </w:rPr>
              <w:t>4.5%</w:t>
            </w:r>
          </w:p>
        </w:tc>
        <w:tc>
          <w:tcPr>
            <w:tcW w:type="dxa" w:w="4032"/>
          </w:tcPr>
          <w:p>
            <w:r>
              <w:rPr>
                <w:sz w:val="18"/>
              </w:rPr>
              <w:t>Low FP, but detects no attacks.</w:t>
              <w:br/>
              <w:t>Quiet because it is blind to</w:t>
              <w:br/>
              <w:t>behavioral direction.</w:t>
            </w:r>
          </w:p>
        </w:tc>
      </w:tr>
      <w:tr>
        <w:tc>
          <w:tcPr>
            <w:tcW w:type="dxa" w:w="2016"/>
            <w:shd w:fill="EAF0F6"/>
          </w:tcPr>
          <w:p>
            <w:r>
              <w:rPr>
                <w:sz w:val="18"/>
              </w:rPr>
              <w:t>Isolation Forest</w:t>
            </w:r>
          </w:p>
        </w:tc>
        <w:tc>
          <w:tcPr>
            <w:tcW w:type="dxa" w:w="1584"/>
            <w:shd w:fill="EAF0F6"/>
          </w:tcPr>
          <w:p>
            <w:r>
              <w:rPr>
                <w:sz w:val="18"/>
              </w:rPr>
              <w:t>0 of 4</w:t>
            </w:r>
          </w:p>
        </w:tc>
        <w:tc>
          <w:tcPr>
            <w:tcW w:type="dxa" w:w="1008"/>
            <w:shd w:fill="EAF0F6"/>
          </w:tcPr>
          <w:p>
            <w:r>
              <w:rPr>
                <w:sz w:val="18"/>
              </w:rPr>
              <w:t>5.3%</w:t>
            </w:r>
          </w:p>
        </w:tc>
        <w:tc>
          <w:tcPr>
            <w:tcW w:type="dxa" w:w="4032"/>
            <w:shd w:fill="EAF0F6"/>
          </w:tcPr>
          <w:p>
            <w:r>
              <w:rPr>
                <w:sz w:val="18"/>
              </w:rPr>
              <w:t>Low FP, but detects no attacks.</w:t>
              <w:br/>
              <w:t>Magnitude-only outlier detection.</w:t>
            </w:r>
          </w:p>
        </w:tc>
      </w:tr>
      <w:tr>
        <w:tc>
          <w:tcPr>
            <w:tcW w:type="dxa" w:w="2016"/>
          </w:tcPr>
          <w:p>
            <w:r>
              <w:rPr>
                <w:sz w:val="18"/>
              </w:rPr>
              <w:t>Z-Score (|z|&gt;3)</w:t>
            </w:r>
          </w:p>
        </w:tc>
        <w:tc>
          <w:tcPr>
            <w:tcW w:type="dxa" w:w="1584"/>
          </w:tcPr>
          <w:p>
            <w:r>
              <w:rPr>
                <w:sz w:val="18"/>
              </w:rPr>
              <w:t>1 of 4</w:t>
            </w:r>
          </w:p>
        </w:tc>
        <w:tc>
          <w:tcPr>
            <w:tcW w:type="dxa" w:w="1008"/>
          </w:tcPr>
          <w:p>
            <w:r>
              <w:rPr>
                <w:sz w:val="18"/>
              </w:rPr>
              <w:t>9.8%</w:t>
            </w:r>
          </w:p>
        </w:tc>
        <w:tc>
          <w:tcPr>
            <w:tcW w:type="dxa" w:w="4032"/>
          </w:tcPr>
          <w:p>
            <w:r>
              <w:rPr>
                <w:sz w:val="18"/>
              </w:rPr>
              <w:t>Catches only the overt LOTL</w:t>
              <w:br/>
              <w:t>campaign; misses insider and</w:t>
              <w:br/>
              <w:t>both nation-state campaigns.</w:t>
            </w:r>
          </w:p>
        </w:tc>
      </w:tr>
      <w:tr>
        <w:tc>
          <w:tcPr>
            <w:tcW w:type="dxa" w:w="2016"/>
            <w:shd w:fill="EAF0F6"/>
          </w:tcPr>
          <w:p>
            <w:r>
              <w:rPr>
                <w:sz w:val="18"/>
              </w:rPr>
              <w:t>One-Class SVM</w:t>
            </w:r>
          </w:p>
        </w:tc>
        <w:tc>
          <w:tcPr>
            <w:tcW w:type="dxa" w:w="1584"/>
            <w:shd w:fill="EAF0F6"/>
          </w:tcPr>
          <w:p>
            <w:r>
              <w:rPr>
                <w:sz w:val="18"/>
              </w:rPr>
              <w:t>0 of 4</w:t>
            </w:r>
          </w:p>
        </w:tc>
        <w:tc>
          <w:tcPr>
            <w:tcW w:type="dxa" w:w="1008"/>
            <w:shd w:fill="EAF0F6"/>
          </w:tcPr>
          <w:p>
            <w:r>
              <w:rPr>
                <w:sz w:val="18"/>
              </w:rPr>
              <w:t>14.6%</w:t>
            </w:r>
          </w:p>
        </w:tc>
        <w:tc>
          <w:tcPr>
            <w:tcW w:type="dxa" w:w="4032"/>
            <w:shd w:fill="EAF0F6"/>
          </w:tcPr>
          <w:p>
            <w:r>
              <w:rPr>
                <w:sz w:val="18"/>
              </w:rPr>
              <w:t>Higher FP and detects no attacks —</w:t>
              <w:br/>
              <w:t>the worst operational profile.</w:t>
            </w:r>
          </w:p>
        </w:tc>
      </w:tr>
      <w:tr>
        <w:tc>
          <w:tcPr>
            <w:tcW w:type="dxa" w:w="2016"/>
          </w:tcPr>
          <w:p>
            <w:r>
              <w:rPr>
                <w:sz w:val="18"/>
              </w:rPr>
              <w:t>Composite Scoring</w:t>
            </w:r>
          </w:p>
        </w:tc>
        <w:tc>
          <w:tcPr>
            <w:tcW w:type="dxa" w:w="1584"/>
          </w:tcPr>
          <w:p>
            <w:r>
              <w:rPr>
                <w:sz w:val="18"/>
              </w:rPr>
              <w:t>4 of 4</w:t>
            </w:r>
          </w:p>
        </w:tc>
        <w:tc>
          <w:tcPr>
            <w:tcW w:type="dxa" w:w="1008"/>
          </w:tcPr>
          <w:p>
            <w:r>
              <w:rPr>
                <w:sz w:val="18"/>
              </w:rPr>
              <w:t>8.5%</w:t>
            </w:r>
          </w:p>
        </w:tc>
        <w:tc>
          <w:tcPr>
            <w:tcW w:type="dxa" w:w="4032"/>
          </w:tcPr>
          <w:p>
            <w:r>
              <w:rPr>
                <w:sz w:val="18"/>
              </w:rPr>
              <w:t>Detects every campaign at a</w:t>
              <w:br/>
              <w:t>manageable FP rate. 21 false</w:t>
              <w:br/>
              <w:t>positives across 246 normal users.</w:t>
            </w:r>
          </w:p>
        </w:tc>
      </w:tr>
    </w:tbl>
    <w:p/>
    <w:p>
      <w:pPr>
        <w:spacing w:after="120"/>
      </w:pPr>
      <w:r>
        <w:rPr>
          <w:b w:val="0"/>
          <w:i w:val="0"/>
          <w:color w:val="000000"/>
          <w:sz w:val="21"/>
        </w:rPr>
        <w:t>Composite scoring's 8.5% false positive rate corresponds to 21 normal users flagged alongside the 4 attackers at the 90th-percentile threshold. In an operational setting, these 21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8.5%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51.3</w:t>
            </w:r>
          </w:p>
        </w:tc>
        <w:tc>
          <w:tcPr>
            <w:tcW w:type="dxa" w:w="720"/>
          </w:tcPr>
          <w:p>
            <w:r>
              <w:rPr>
                <w:sz w:val="18"/>
              </w:rPr>
              <w:t>#1</w:t>
            </w:r>
          </w:p>
        </w:tc>
        <w:tc>
          <w:tcPr>
            <w:tcW w:type="dxa" w:w="5472"/>
          </w:tcPr>
          <w:p>
            <w:r>
              <w:rPr>
                <w:sz w:val="18"/>
              </w:rPr>
              <w:t>Signal Strength (26.8) + Breadth (9 features)</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(6.8) + Breadth (8 features)</w:t>
              <w:br/>
              <w:t>8-month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19.4</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13.7</w:t>
            </w:r>
          </w:p>
        </w:tc>
        <w:tc>
          <w:tcPr>
            <w:tcW w:type="dxa" w:w="720"/>
            <w:shd w:fill="EAF0F6"/>
          </w:tcPr>
          <w:p>
            <w:r>
              <w:rPr>
                <w:sz w:val="18"/>
              </w:rPr>
              <w:t>#24</w:t>
            </w:r>
          </w:p>
        </w:tc>
        <w:tc>
          <w:tcPr>
            <w:tcW w:type="dxa" w:w="5472"/>
            <w:shd w:fill="EAF0F6"/>
          </w:tcPr>
          <w:p>
            <w:r>
              <w:rPr>
                <w:sz w:val="18"/>
              </w:rPr>
              <w:t>Signal Strength (7.2) + Context Divergence (2.3)</w:t>
              <w:br/>
              <w:t>LOTL tools create cross-context anomalies</w:t>
            </w:r>
          </w:p>
        </w:tc>
      </w:tr>
    </w:tbl>
    <w:p/>
    <w:p>
      <w:pPr>
        <w:spacing w:after="120"/>
      </w:pPr>
      <w:r>
        <w:rPr>
          <w:b w:val="0"/>
          <w:i w:val="0"/>
          <w:color w:val="000000"/>
          <w:sz w:val="21"/>
        </w:rPr>
        <w:t>All four attackers rank in the top 25 of 250 users (top 10%). At the 90th percentile detection threshold, 4 of 4 attacks are detected with a false positive rate of 8.5% (21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180-day slow APT with command-and-control beaconing via DNS. The malware contacts an external C2 server approximately every 6 hours (~4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not marginal. Feature-space CUSUM detects 0 of 4 attackers. Semantic CUSUM separates all 4.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Magnitude alone is insufficient.</w:t>
      </w:r>
    </w:p>
    <w:p>
      <w:pPr>
        <w:spacing w:after="120"/>
      </w:pPr>
      <w:r>
        <w:rPr>
          <w:b w:val="0"/>
          <w:i w:val="0"/>
          <w:color w:val="000000"/>
          <w:sz w:val="21"/>
        </w:rPr>
        <w:t>Traditional anomaly detection (Isolation Forest, SVM, LOF, Z-Score on 23 scalar features) detects 0 of 4 attackers at operationally acceptable false positive rates. The insider's feature values never exceed statistical thresholds — the attack is a behavioral direction change, not a magnitude spike. The APT's C2 beaconing hides within normal DNS query volumes.</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8.5%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19.4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