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4290F" w14:textId="77777777" w:rsidR="00364F09" w:rsidRDefault="00000000">
      <w:r>
        <w:rPr>
          <w:b/>
          <w:color w:val="0B1F3A"/>
          <w:sz w:val="40"/>
        </w:rPr>
        <w:t>Catching the Cyber Threats That Never Trip an Alarm:</w:t>
      </w:r>
      <w:r>
        <w:rPr>
          <w:b/>
          <w:color w:val="0B1F3A"/>
          <w:sz w:val="40"/>
        </w:rPr>
        <w:br/>
        <w:t>Traditional Security Monitoring vs. V-Intelligence UEBA</w:t>
      </w:r>
    </w:p>
    <w:p w14:paraId="06881F43" w14:textId="77777777" w:rsidR="00364F09" w:rsidRDefault="00000000">
      <w:pPr>
        <w:spacing w:after="40"/>
      </w:pPr>
      <w:r>
        <w:rPr>
          <w:color w:val="555F6B"/>
          <w:sz w:val="25"/>
        </w:rPr>
        <w:t>A business and technology overview — what behavioral intelligence is, what it detects that today's tools miss, and what the evidence shows</w:t>
      </w:r>
    </w:p>
    <w:p w14:paraId="2F23F5BA" w14:textId="77777777" w:rsidR="00364F09" w:rsidRDefault="00000000">
      <w:pPr>
        <w:spacing w:after="40"/>
      </w:pPr>
      <w:r>
        <w:rPr>
          <w:color w:val="555F6B"/>
          <w:sz w:val="19"/>
        </w:rPr>
        <w:t>22nd Century Technologies, Inc.  ·  V-Intelligence UEBA Program  ·  June 2026  ·  Business Edition</w:t>
      </w:r>
    </w:p>
    <w:p w14:paraId="1196B6BE" w14:textId="77777777" w:rsidR="00364F09" w:rsidRDefault="00000000">
      <w:pPr>
        <w:spacing w:after="80"/>
      </w:pPr>
      <w:r>
        <w:rPr>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14:paraId="5DED4627" w14:textId="77777777" w:rsidR="00364F09" w:rsidRDefault="00000000">
      <w:pPr>
        <w:spacing w:after="160"/>
      </w:pPr>
      <w:r>
        <w:rPr>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14:paraId="72A929AC" w14:textId="77777777" w:rsidR="00364F09" w:rsidRDefault="00000000">
      <w:pPr>
        <w:spacing w:before="280" w:after="80"/>
      </w:pPr>
      <w:r>
        <w:rPr>
          <w:b/>
          <w:color w:val="0B1F3A"/>
          <w:sz w:val="30"/>
        </w:rPr>
        <w:t>1.  Executive Summary</w:t>
      </w:r>
    </w:p>
    <w:p w14:paraId="5EB08DB7" w14:textId="77777777" w:rsidR="00364F09" w:rsidRDefault="00000000">
      <w: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14:paraId="3639846A" w14:textId="77777777" w:rsidR="00364F09" w:rsidRDefault="00000000">
      <w: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14:paraId="5799B5AA" w14:textId="77777777" w:rsidR="00364F09" w:rsidRDefault="00000000">
      <w:r>
        <w:rPr>
          <w:b/>
        </w:rPr>
        <w:t>What the evidence shows:</w:t>
      </w:r>
    </w:p>
    <w:p w14:paraId="3EDB2ED2" w14:textId="77777777" w:rsidR="00364F09" w:rsidRDefault="00000000">
      <w:pPr>
        <w:pStyle w:val="ListBullet"/>
        <w:spacing w:after="60"/>
      </w:pPr>
      <w:r>
        <w:rPr>
          <w:b/>
        </w:rPr>
        <w:t xml:space="preserve">Traditional methods miss these attacks. </w:t>
      </w:r>
      <w: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14:paraId="79A015FD" w14:textId="77777777" w:rsidR="00364F09" w:rsidRDefault="00000000">
      <w:pPr>
        <w:pStyle w:val="ListBullet"/>
        <w:spacing w:after="60"/>
      </w:pPr>
      <w:r>
        <w:rPr>
          <w:b/>
        </w:rPr>
        <w:t xml:space="preserve">4 of 4 detected — with direction. </w:t>
      </w:r>
      <w:r>
        <w:t>V-Intelligence's multi-phase composite scoring detects all four attack campaigns at an 8.1% false-positive rate (20 of 246 normal users flagged), and tells the analyst which behavioral dimension drifted and toward what known threat pattern.</w:t>
      </w:r>
    </w:p>
    <w:p w14:paraId="0D7873BD" w14:textId="77777777" w:rsidR="00364F09" w:rsidRDefault="00000000">
      <w:pPr>
        <w:pStyle w:val="ListBullet"/>
        <w:spacing w:after="60"/>
      </w:pPr>
      <w:r>
        <w:rPr>
          <w:b/>
        </w:rPr>
        <w:t xml:space="preserve">The "undetectable" attack, detected. </w:t>
      </w:r>
      <w: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14:paraId="60FCD1A1" w14:textId="77777777" w:rsidR="00364F09" w:rsidRDefault="00000000">
      <w:r>
        <w:rPr>
          <w:b/>
        </w:rPr>
        <w:t>The key insight in one line: the insider changes which data they access, not how much. Traditional algorithms measure magnitude. V-Intelligence UEBA measures direction.</w:t>
      </w:r>
    </w:p>
    <w:p w14:paraId="5E0301A0" w14:textId="77777777" w:rsidR="00364F09" w:rsidRDefault="00000000">
      <w:pPr>
        <w:spacing w:before="280" w:after="80"/>
      </w:pPr>
      <w:r>
        <w:rPr>
          <w:b/>
          <w:color w:val="0B1F3A"/>
          <w:sz w:val="30"/>
        </w:rPr>
        <w:t>2.  The Problem: Attacks Built to Stay Under the Alarm</w:t>
      </w:r>
    </w:p>
    <w:p w14:paraId="346245CC" w14:textId="77777777" w:rsidR="00364F09" w:rsidRDefault="00000000">
      <w:r>
        <w:t xml:space="preserve">Enterprise security monitoring today rests on two pillars. The first is the SIEM (Security Information and Event Management system) — the central log-collection platform that applies expert-written rules to spot known attack </w:t>
      </w:r>
      <w:r>
        <w:lastRenderedPageBreak/>
        <w:t>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14:paraId="391C6173" w14:textId="77777777" w:rsidR="00364F09" w:rsidRDefault="00000000">
      <w:r>
        <w:t>Modern adversaries are engineered to make the answer "no." Three threat families dominate:</w:t>
      </w:r>
    </w:p>
    <w:p w14:paraId="10D3576A" w14:textId="77777777" w:rsidR="00364F09" w:rsidRDefault="00000000">
      <w:pPr>
        <w:pStyle w:val="ListBullet"/>
        <w:spacing w:after="60"/>
      </w:pPr>
      <w:r>
        <w:rPr>
          <w:b/>
        </w:rPr>
        <w:t xml:space="preserve">Insider threats. </w:t>
      </w:r>
      <w: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14:paraId="16CD40CC" w14:textId="77777777" w:rsidR="00364F09" w:rsidRDefault="00000000">
      <w:pPr>
        <w:pStyle w:val="ListBullet"/>
        <w:spacing w:after="60"/>
      </w:pPr>
      <w:r>
        <w:rPr>
          <w:b/>
        </w:rPr>
        <w:t xml:space="preserve">Advanced persistent threats. </w:t>
      </w:r>
      <w: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14:paraId="5B3B89EE" w14:textId="77777777" w:rsidR="00364F09" w:rsidRDefault="00000000">
      <w:pPr>
        <w:pStyle w:val="ListBullet"/>
        <w:spacing w:after="60"/>
      </w:pPr>
      <w:r>
        <w:rPr>
          <w:b/>
        </w:rPr>
        <w:t xml:space="preserve">Living-off-the-land attacks. </w:t>
      </w:r>
      <w:r>
        <w:t>"Living off the land" (LOTL) attacks use only the administration tools already installed on every system — PowerShell, remote desktop, management utilities. There is no malware to fingerprint and no rule to violate: every action is, in isolation, an authorized one.</w:t>
      </w:r>
    </w:p>
    <w:p w14:paraId="162755AA" w14:textId="77777777" w:rsidR="00364F09" w:rsidRDefault="00000000">
      <w: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14:paraId="7E0E2B4D" w14:textId="77777777" w:rsidR="00364F09" w:rsidRDefault="00000000">
      <w:pPr>
        <w:spacing w:before="120" w:after="0"/>
        <w:jc w:val="center"/>
      </w:pPr>
      <w:r>
        <w:rPr>
          <w:noProof/>
        </w:rPr>
        <w:drawing>
          <wp:inline distT="0" distB="0" distL="0" distR="0" wp14:anchorId="5E0FAC20" wp14:editId="1A4B3B8B">
            <wp:extent cx="5852160" cy="25080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slowlow.png"/>
                    <pic:cNvPicPr/>
                  </pic:nvPicPr>
                  <pic:blipFill>
                    <a:blip r:embed="rId6"/>
                    <a:stretch>
                      <a:fillRect/>
                    </a:stretch>
                  </pic:blipFill>
                  <pic:spPr>
                    <a:xfrm>
                      <a:off x="0" y="0"/>
                      <a:ext cx="5852160" cy="2508069"/>
                    </a:xfrm>
                    <a:prstGeom prst="rect">
                      <a:avLst/>
                    </a:prstGeom>
                  </pic:spPr>
                </pic:pic>
              </a:graphicData>
            </a:graphic>
          </wp:inline>
        </w:drawing>
      </w:r>
    </w:p>
    <w:p w14:paraId="00A0334B" w14:textId="77777777" w:rsidR="00364F09" w:rsidRDefault="00000000">
      <w:pPr>
        <w:spacing w:after="160"/>
        <w:jc w:val="center"/>
      </w:pPr>
      <w:r>
        <w:rPr>
          <w:i/>
          <w:color w:val="555F6B"/>
          <w:sz w:val="17"/>
        </w:rPr>
        <w:t xml:space="preserve">Figure 1 — The "slow and low" evasion. Left: a threshold-based tool judges each week alone, and the attacker's weekly change never crosses the fixed alert line — no alert is ever raised. Right: the same weeks accumulated as </w:t>
      </w:r>
      <w:r>
        <w:rPr>
          <w:i/>
          <w:color w:val="555F6B"/>
          <w:sz w:val="17"/>
        </w:rPr>
        <w:t xml:space="preserve">behavioral drift </w:t>
      </w:r>
      <w:r>
        <w:rPr>
          <w:i/>
          <w:color w:val="555F6B"/>
          <w:sz w:val="17"/>
        </w:rPr>
        <w:t>separate the attacker from the normal-user range in months, not years. (Illustrative, based on the simulated 60-week slow-APT campaign.)</w:t>
      </w:r>
    </w:p>
    <w:p w14:paraId="1CDC8390" w14:textId="77777777" w:rsidR="00364F09" w:rsidRDefault="00000000">
      <w: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14:paraId="52AFF172" w14:textId="77777777" w:rsidR="00364F09" w:rsidRDefault="00000000">
      <w:pPr>
        <w:spacing w:before="280" w:after="80"/>
      </w:pPr>
      <w:r>
        <w:rPr>
          <w:b/>
          <w:color w:val="0B1F3A"/>
          <w:sz w:val="30"/>
        </w:rPr>
        <w:t>3.  What Is UEBA — and What Is Different Here</w:t>
      </w:r>
    </w:p>
    <w:p w14:paraId="42CE885B" w14:textId="77777777" w:rsidR="00364F09" w:rsidRDefault="00000000">
      <w:r>
        <w:lastRenderedPageBreak/>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w="0" w:type="auto"/>
        <w:jc w:val="center"/>
        <w:tblLook w:val="04A0" w:firstRow="1" w:lastRow="0" w:firstColumn="1" w:lastColumn="0" w:noHBand="0" w:noVBand="1"/>
      </w:tblPr>
      <w:tblGrid>
        <w:gridCol w:w="1423"/>
        <w:gridCol w:w="2120"/>
        <w:gridCol w:w="2824"/>
        <w:gridCol w:w="3415"/>
      </w:tblGrid>
      <w:tr w:rsidR="00364F09" w14:paraId="7EC65A54" w14:textId="77777777">
        <w:trPr>
          <w:jc w:val="center"/>
        </w:trPr>
        <w:tc>
          <w:tcPr>
            <w:tcW w:w="1440" w:type="dxa"/>
            <w:shd w:val="clear" w:color="auto" w:fill="0B1F3A"/>
          </w:tcPr>
          <w:p w14:paraId="0851D671" w14:textId="77777777" w:rsidR="00364F09" w:rsidRDefault="00000000">
            <w:pPr>
              <w:spacing w:before="40" w:after="40"/>
            </w:pPr>
            <w:r>
              <w:rPr>
                <w:b/>
                <w:color w:val="FFFFFF"/>
                <w:sz w:val="19"/>
              </w:rPr>
              <w:t>Principle</w:t>
            </w:r>
          </w:p>
        </w:tc>
        <w:tc>
          <w:tcPr>
            <w:tcW w:w="2160" w:type="dxa"/>
            <w:shd w:val="clear" w:color="auto" w:fill="0B1F3A"/>
          </w:tcPr>
          <w:p w14:paraId="469C5630" w14:textId="77777777" w:rsidR="00364F09" w:rsidRDefault="00000000">
            <w:pPr>
              <w:spacing w:before="40" w:after="40"/>
            </w:pPr>
            <w:r>
              <w:rPr>
                <w:b/>
                <w:color w:val="FFFFFF"/>
                <w:sz w:val="19"/>
              </w:rPr>
              <w:t>Question asked</w:t>
            </w:r>
          </w:p>
        </w:tc>
        <w:tc>
          <w:tcPr>
            <w:tcW w:w="2880" w:type="dxa"/>
            <w:shd w:val="clear" w:color="auto" w:fill="0B1F3A"/>
          </w:tcPr>
          <w:p w14:paraId="76A33E8F" w14:textId="77777777" w:rsidR="00364F09" w:rsidRDefault="00000000">
            <w:pPr>
              <w:spacing w:before="40" w:after="40"/>
            </w:pPr>
            <w:r>
              <w:rPr>
                <w:b/>
                <w:color w:val="FFFFFF"/>
                <w:sz w:val="19"/>
              </w:rPr>
              <w:t>Traditional answer</w:t>
            </w:r>
          </w:p>
        </w:tc>
        <w:tc>
          <w:tcPr>
            <w:tcW w:w="3456" w:type="dxa"/>
            <w:shd w:val="clear" w:color="auto" w:fill="0B1F3A"/>
          </w:tcPr>
          <w:p w14:paraId="6FA3ECF5" w14:textId="77777777" w:rsidR="00364F09" w:rsidRDefault="00000000">
            <w:pPr>
              <w:spacing w:before="40" w:after="40"/>
            </w:pPr>
            <w:r>
              <w:rPr>
                <w:b/>
                <w:color w:val="FFFFFF"/>
                <w:sz w:val="19"/>
              </w:rPr>
              <w:t>UEBA answer</w:t>
            </w:r>
          </w:p>
        </w:tc>
      </w:tr>
      <w:tr w:rsidR="00364F09" w14:paraId="6003EBC7" w14:textId="77777777">
        <w:trPr>
          <w:jc w:val="center"/>
        </w:trPr>
        <w:tc>
          <w:tcPr>
            <w:tcW w:w="1440" w:type="dxa"/>
            <w:shd w:val="clear" w:color="auto" w:fill="F4F6F8"/>
          </w:tcPr>
          <w:p w14:paraId="1A8434F1" w14:textId="77777777" w:rsidR="00364F09" w:rsidRDefault="00000000">
            <w:pPr>
              <w:spacing w:before="40" w:after="40"/>
            </w:pPr>
            <w:r>
              <w:rPr>
                <w:b/>
                <w:sz w:val="19"/>
              </w:rPr>
              <w:t>Baseline</w:t>
            </w:r>
          </w:p>
        </w:tc>
        <w:tc>
          <w:tcPr>
            <w:tcW w:w="2160" w:type="dxa"/>
          </w:tcPr>
          <w:p w14:paraId="5CEFAEBB" w14:textId="77777777" w:rsidR="00364F09" w:rsidRDefault="00000000">
            <w:pPr>
              <w:spacing w:before="40" w:after="40"/>
            </w:pPr>
            <w:r>
              <w:rPr>
                <w:sz w:val="19"/>
              </w:rPr>
              <w:t>What is normal?</w:t>
            </w:r>
          </w:p>
        </w:tc>
        <w:tc>
          <w:tcPr>
            <w:tcW w:w="2880" w:type="dxa"/>
          </w:tcPr>
          <w:p w14:paraId="720F2A13" w14:textId="77777777" w:rsidR="00364F09" w:rsidRDefault="00000000">
            <w:pPr>
              <w:spacing w:before="40" w:after="40"/>
            </w:pPr>
            <w:r>
              <w:rPr>
                <w:sz w:val="19"/>
              </w:rPr>
              <w:t>One statistical threshold for everyone.</w:t>
            </w:r>
          </w:p>
        </w:tc>
        <w:tc>
          <w:tcPr>
            <w:tcW w:w="3456" w:type="dxa"/>
          </w:tcPr>
          <w:p w14:paraId="4ACE1B8E" w14:textId="77777777" w:rsidR="00364F09" w:rsidRDefault="00000000">
            <w:pPr>
              <w:spacing w:before="40" w:after="40"/>
            </w:pPr>
            <w:r>
              <w:rPr>
                <w:sz w:val="19"/>
              </w:rPr>
              <w:t>Each entity's own baseline, calibrated to its role cohort — a developer's “normal” differs from an executive's.</w:t>
            </w:r>
            <w:r w:rsidR="00032E1B">
              <w:rPr>
                <w:rStyle w:val="CommentReference"/>
                <w:sz w:val="21"/>
                <w:szCs w:val="22"/>
              </w:rPr>
            </w:r>
            <w:r w:rsidR="00032E1B">
              <w:rPr>
                <w:rStyle w:val="CommentReference"/>
                <w:sz w:val="21"/>
                <w:szCs w:val="22"/>
              </w:rPr>
            </w:r>
            <w:r w:rsidR="00B044CF">
              <w:rPr>
                <w:rStyle w:val="CommentReference"/>
                <w:sz w:val="21"/>
                <w:szCs w:val="22"/>
              </w:rPr>
            </w:r>
          </w:p>
        </w:tc>
      </w:tr>
      <w:tr w:rsidR="00364F09" w14:paraId="33E361B7" w14:textId="77777777">
        <w:trPr>
          <w:jc w:val="center"/>
        </w:trPr>
        <w:tc>
          <w:tcPr>
            <w:tcW w:w="1440" w:type="dxa"/>
            <w:shd w:val="clear" w:color="auto" w:fill="F4F6F8"/>
          </w:tcPr>
          <w:p w14:paraId="11791F4A" w14:textId="77777777" w:rsidR="00364F09" w:rsidRDefault="00000000">
            <w:pPr>
              <w:spacing w:before="40" w:after="40"/>
            </w:pPr>
            <w:r>
              <w:rPr>
                <w:b/>
                <w:sz w:val="19"/>
              </w:rPr>
              <w:t>Deviation</w:t>
            </w:r>
          </w:p>
        </w:tc>
        <w:tc>
          <w:tcPr>
            <w:tcW w:w="2160" w:type="dxa"/>
          </w:tcPr>
          <w:p w14:paraId="6EB2263B" w14:textId="77777777" w:rsidR="00364F09" w:rsidRDefault="00000000">
            <w:pPr>
              <w:spacing w:before="40" w:after="40"/>
            </w:pPr>
            <w:r>
              <w:rPr>
                <w:sz w:val="19"/>
              </w:rPr>
              <w:t>Has something changed?</w:t>
            </w:r>
          </w:p>
        </w:tc>
        <w:tc>
          <w:tcPr>
            <w:tcW w:w="2880" w:type="dxa"/>
          </w:tcPr>
          <w:p w14:paraId="4371A928" w14:textId="77777777" w:rsidR="00364F09" w:rsidRDefault="00000000">
            <w:pPr>
              <w:spacing w:before="40" w:after="40"/>
            </w:pPr>
            <w:r>
              <w:rPr>
                <w:sz w:val="19"/>
              </w:rPr>
              <w:t>A measurement exceeded a fixed limit.</w:t>
            </w:r>
          </w:p>
        </w:tc>
        <w:tc>
          <w:tcPr>
            <w:tcW w:w="3456" w:type="dxa"/>
          </w:tcPr>
          <w:p w14:paraId="7A7349CE" w14:textId="77777777" w:rsidR="00364F09" w:rsidRDefault="00000000">
            <w:pPr>
              <w:spacing w:before="40" w:after="40"/>
            </w:pPr>
            <w:r>
              <w:rPr>
                <w:sz w:val="19"/>
              </w:rPr>
              <w:t>The entity's behavioral trajectory is drifting from its own baseline and from its role-peer norm.</w:t>
            </w:r>
          </w:p>
        </w:tc>
      </w:tr>
      <w:tr w:rsidR="00364F09" w14:paraId="28C3B009" w14:textId="77777777">
        <w:trPr>
          <w:jc w:val="center"/>
        </w:trPr>
        <w:tc>
          <w:tcPr>
            <w:tcW w:w="1440" w:type="dxa"/>
            <w:shd w:val="clear" w:color="auto" w:fill="F4F6F8"/>
          </w:tcPr>
          <w:p w14:paraId="35288951" w14:textId="77777777" w:rsidR="00364F09" w:rsidRDefault="00000000">
            <w:pPr>
              <w:spacing w:before="40" w:after="40"/>
            </w:pPr>
            <w:r>
              <w:rPr>
                <w:b/>
                <w:sz w:val="19"/>
              </w:rPr>
              <w:t>Direction</w:t>
            </w:r>
          </w:p>
        </w:tc>
        <w:tc>
          <w:tcPr>
            <w:tcW w:w="2160" w:type="dxa"/>
          </w:tcPr>
          <w:p w14:paraId="6F28A81D" w14:textId="77777777" w:rsidR="00364F09" w:rsidRDefault="00000000">
            <w:pPr>
              <w:spacing w:before="40" w:after="40"/>
            </w:pPr>
            <w:r>
              <w:rPr>
                <w:sz w:val="19"/>
              </w:rPr>
              <w:t>What kind of change?</w:t>
            </w:r>
          </w:p>
        </w:tc>
        <w:tc>
          <w:tcPr>
            <w:tcW w:w="2880" w:type="dxa"/>
          </w:tcPr>
          <w:p w14:paraId="05C64983" w14:textId="77777777" w:rsidR="00364F09" w:rsidRDefault="00000000">
            <w:pPr>
              <w:spacing w:before="40" w:after="40"/>
            </w:pPr>
            <w:r>
              <w:rPr>
                <w:sz w:val="19"/>
              </w:rPr>
              <w:t>Not considered — magnitude only.</w:t>
            </w:r>
          </w:p>
        </w:tc>
        <w:tc>
          <w:tcPr>
            <w:tcW w:w="3456" w:type="dxa"/>
          </w:tcPr>
          <w:p w14:paraId="22FEEC80" w14:textId="77777777" w:rsidR="00364F09" w:rsidRDefault="00000000">
            <w:pPr>
              <w:spacing w:before="40" w:after="40"/>
            </w:pPr>
            <w:r>
              <w:rPr>
                <w:sz w:val="19"/>
              </w:rPr>
              <w:t>Which behavioral dimension is drifting, and toward what known threat pattern.</w:t>
            </w:r>
          </w:p>
        </w:tc>
      </w:tr>
    </w:tbl>
    <w:p w14:paraId="76451252" w14:textId="77777777" w:rsidR="00364F09" w:rsidRDefault="00364F09">
      <w:pPr>
        <w:spacing w:after="40"/>
      </w:pPr>
    </w:p>
    <w:p w14:paraId="52DCD7D0" w14:textId="77777777" w:rsidR="00364F09" w:rsidRDefault="00000000">
      <w: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14:paraId="7D502259" w14:textId="77777777" w:rsidR="00364F09" w:rsidRDefault="00000000">
      <w:pPr>
        <w:spacing w:before="280" w:after="80"/>
      </w:pPr>
      <w:r>
        <w:rPr>
          <w:b/>
          <w:color w:val="0B1F3A"/>
          <w:sz w:val="30"/>
        </w:rPr>
        <w:t>4.  The V-Intelligence Approach: A Living Chart for Every Entity</w:t>
      </w:r>
    </w:p>
    <w:p w14:paraId="06429DBB" w14:textId="77777777" w:rsidR="00364F09" w:rsidRDefault="00000000">
      <w:pPr>
        <w:spacing w:before="160" w:after="60"/>
      </w:pPr>
      <w:r>
        <w:rPr>
          <w:b/>
          <w:color w:val="C25A12"/>
          <w:sz w:val="24"/>
        </w:rPr>
        <w:t>4.1  The digital entity — a patient's medical chart for behavior</w:t>
      </w:r>
    </w:p>
    <w:p w14:paraId="44A9C9E7" w14:textId="77777777" w:rsidR="00364F09" w:rsidRDefault="00000000">
      <w: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14:paraId="40B37AE2" w14:textId="77777777" w:rsidR="00364F09" w:rsidRDefault="00000000">
      <w: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w="0" w:type="auto"/>
        <w:jc w:val="center"/>
        <w:tblLook w:val="04A0" w:firstRow="1" w:lastRow="0" w:firstColumn="1" w:lastColumn="0" w:noHBand="0" w:noVBand="1"/>
      </w:tblPr>
      <w:tblGrid>
        <w:gridCol w:w="1851"/>
        <w:gridCol w:w="3821"/>
        <w:gridCol w:w="4110"/>
      </w:tblGrid>
      <w:tr w:rsidR="00364F09" w14:paraId="2D9A2EDB" w14:textId="77777777">
        <w:trPr>
          <w:jc w:val="center"/>
        </w:trPr>
        <w:tc>
          <w:tcPr>
            <w:tcW w:w="1872" w:type="dxa"/>
            <w:shd w:val="clear" w:color="auto" w:fill="0B1F3A"/>
          </w:tcPr>
          <w:p w14:paraId="407E1362" w14:textId="77777777" w:rsidR="00364F09" w:rsidRDefault="00000000">
            <w:pPr>
              <w:spacing w:before="40" w:after="40"/>
            </w:pPr>
            <w:r>
              <w:rPr>
                <w:b/>
                <w:color w:val="FFFFFF"/>
                <w:sz w:val="19"/>
              </w:rPr>
              <w:t>Behavioral zone</w:t>
            </w:r>
          </w:p>
        </w:tc>
        <w:tc>
          <w:tcPr>
            <w:tcW w:w="3888" w:type="dxa"/>
            <w:shd w:val="clear" w:color="auto" w:fill="0B1F3A"/>
          </w:tcPr>
          <w:p w14:paraId="3FBA63EE" w14:textId="77777777" w:rsidR="00364F09" w:rsidRDefault="00000000">
            <w:pPr>
              <w:spacing w:before="40" w:after="40"/>
            </w:pPr>
            <w:r>
              <w:rPr>
                <w:b/>
                <w:color w:val="FFFFFF"/>
                <w:sz w:val="19"/>
              </w:rPr>
              <w:t>What it captures</w:t>
            </w:r>
          </w:p>
        </w:tc>
        <w:tc>
          <w:tcPr>
            <w:tcW w:w="4176" w:type="dxa"/>
            <w:shd w:val="clear" w:color="auto" w:fill="0B1F3A"/>
          </w:tcPr>
          <w:p w14:paraId="6C986651" w14:textId="77777777" w:rsidR="00364F09" w:rsidRDefault="00000000">
            <w:pPr>
              <w:spacing w:before="40" w:after="40"/>
            </w:pPr>
            <w:r>
              <w:rPr>
                <w:b/>
                <w:color w:val="FFFFFF"/>
                <w:sz w:val="19"/>
              </w:rPr>
              <w:t>What it catches when it drifts</w:t>
            </w:r>
          </w:p>
        </w:tc>
      </w:tr>
      <w:tr w:rsidR="00364F09" w14:paraId="0C8F797D" w14:textId="77777777">
        <w:trPr>
          <w:jc w:val="center"/>
        </w:trPr>
        <w:tc>
          <w:tcPr>
            <w:tcW w:w="1872" w:type="dxa"/>
            <w:shd w:val="clear" w:color="auto" w:fill="F4F6F8"/>
          </w:tcPr>
          <w:p w14:paraId="0F0463F3" w14:textId="77777777" w:rsidR="00364F09" w:rsidRDefault="00000000">
            <w:pPr>
              <w:spacing w:before="40" w:after="40"/>
            </w:pPr>
            <w:r>
              <w:rPr>
                <w:b/>
                <w:sz w:val="19"/>
              </w:rPr>
              <w:t>Identity</w:t>
            </w:r>
          </w:p>
        </w:tc>
        <w:tc>
          <w:tcPr>
            <w:tcW w:w="3888" w:type="dxa"/>
          </w:tcPr>
          <w:p w14:paraId="367B1355" w14:textId="77777777" w:rsidR="00364F09" w:rsidRDefault="00000000">
            <w:pPr>
              <w:spacing w:before="40" w:after="40"/>
            </w:pPr>
            <w:r>
              <w:rPr>
                <w:sz w:val="19"/>
              </w:rPr>
              <w:t>Who the entity is — role, department, clearance, tenure.</w:t>
            </w:r>
          </w:p>
        </w:tc>
        <w:tc>
          <w:tcPr>
            <w:tcW w:w="4176" w:type="dxa"/>
          </w:tcPr>
          <w:p w14:paraId="2AA1643E" w14:textId="77777777" w:rsidR="00364F09" w:rsidRDefault="00000000">
            <w:pPr>
              <w:spacing w:before="40" w:after="40"/>
            </w:pPr>
            <w:r>
              <w:rPr>
                <w:sz w:val="19"/>
              </w:rPr>
              <w:t>Stability here is itself a clue: insiders and credential thieves look like the same person.</w:t>
            </w:r>
          </w:p>
        </w:tc>
      </w:tr>
      <w:tr w:rsidR="00364F09" w14:paraId="706F9C28" w14:textId="77777777">
        <w:trPr>
          <w:jc w:val="center"/>
        </w:trPr>
        <w:tc>
          <w:tcPr>
            <w:tcW w:w="1872" w:type="dxa"/>
            <w:shd w:val="clear" w:color="auto" w:fill="F4F6F8"/>
          </w:tcPr>
          <w:p w14:paraId="77347784" w14:textId="77777777" w:rsidR="00364F09" w:rsidRDefault="00000000">
            <w:pPr>
              <w:spacing w:before="40" w:after="40"/>
            </w:pPr>
            <w:r>
              <w:rPr>
                <w:b/>
                <w:sz w:val="19"/>
              </w:rPr>
              <w:t>Access pattern</w:t>
            </w:r>
          </w:p>
        </w:tc>
        <w:tc>
          <w:tcPr>
            <w:tcW w:w="3888" w:type="dxa"/>
          </w:tcPr>
          <w:p w14:paraId="32D9EB41" w14:textId="77777777" w:rsidR="00364F09" w:rsidRDefault="00000000">
            <w:pPr>
              <w:spacing w:before="40" w:after="40"/>
            </w:pPr>
            <w:r>
              <w:rPr>
                <w:sz w:val="19"/>
              </w:rPr>
              <w:t>How the entity signs in — frequency, failures, timing, sources.</w:t>
            </w:r>
          </w:p>
        </w:tc>
        <w:tc>
          <w:tcPr>
            <w:tcW w:w="4176" w:type="dxa"/>
          </w:tcPr>
          <w:p w14:paraId="6D22F075" w14:textId="77777777" w:rsidR="00364F09" w:rsidRDefault="00000000">
            <w:pPr>
              <w:spacing w:before="40" w:after="40"/>
            </w:pPr>
            <w:r>
              <w:rPr>
                <w:sz w:val="19"/>
              </w:rPr>
              <w:t>Credential abuse and account takeover.</w:t>
            </w:r>
          </w:p>
        </w:tc>
      </w:tr>
      <w:tr w:rsidR="00364F09" w14:paraId="58E0CFC5" w14:textId="77777777">
        <w:trPr>
          <w:jc w:val="center"/>
        </w:trPr>
        <w:tc>
          <w:tcPr>
            <w:tcW w:w="1872" w:type="dxa"/>
            <w:shd w:val="clear" w:color="auto" w:fill="F4F6F8"/>
          </w:tcPr>
          <w:p w14:paraId="04C69AB4" w14:textId="77777777" w:rsidR="00364F09" w:rsidRDefault="00000000">
            <w:pPr>
              <w:spacing w:before="40" w:after="40"/>
            </w:pPr>
            <w:r>
              <w:rPr>
                <w:b/>
                <w:sz w:val="19"/>
              </w:rPr>
              <w:t>Data behavior</w:t>
            </w:r>
          </w:p>
        </w:tc>
        <w:tc>
          <w:tcPr>
            <w:tcW w:w="3888" w:type="dxa"/>
          </w:tcPr>
          <w:p w14:paraId="52299BB8" w14:textId="77777777" w:rsidR="00364F09" w:rsidRDefault="00000000">
            <w:pPr>
              <w:spacing w:before="40" w:after="40"/>
            </w:pPr>
            <w:r>
              <w:rPr>
                <w:sz w:val="19"/>
              </w:rPr>
              <w:t>What data it touches — volume, sensitivity mix, read/write balance.</w:t>
            </w:r>
          </w:p>
        </w:tc>
        <w:tc>
          <w:tcPr>
            <w:tcW w:w="4176" w:type="dxa"/>
          </w:tcPr>
          <w:p w14:paraId="2147C1C1" w14:textId="77777777" w:rsidR="00364F09" w:rsidRDefault="00000000">
            <w:pPr>
              <w:spacing w:before="40" w:after="40"/>
            </w:pPr>
            <w:r>
              <w:rPr>
                <w:sz w:val="19"/>
              </w:rPr>
              <w:t>Insider data theft: a shift toward restricted and confidential material.</w:t>
            </w:r>
          </w:p>
        </w:tc>
      </w:tr>
      <w:tr w:rsidR="00364F09" w14:paraId="42E66570" w14:textId="77777777">
        <w:trPr>
          <w:jc w:val="center"/>
        </w:trPr>
        <w:tc>
          <w:tcPr>
            <w:tcW w:w="1872" w:type="dxa"/>
            <w:shd w:val="clear" w:color="auto" w:fill="F4F6F8"/>
          </w:tcPr>
          <w:p w14:paraId="438F9D6C" w14:textId="77777777" w:rsidR="00364F09" w:rsidRDefault="00000000">
            <w:pPr>
              <w:spacing w:before="40" w:after="40"/>
            </w:pPr>
            <w:r>
              <w:rPr>
                <w:b/>
                <w:sz w:val="19"/>
              </w:rPr>
              <w:t>Network footprint</w:t>
            </w:r>
          </w:p>
        </w:tc>
        <w:tc>
          <w:tcPr>
            <w:tcW w:w="3888" w:type="dxa"/>
          </w:tcPr>
          <w:p w14:paraId="7796FE70" w14:textId="77777777" w:rsidR="00364F09" w:rsidRDefault="00000000">
            <w:pPr>
              <w:spacing w:before="40" w:after="40"/>
            </w:pPr>
            <w:r>
              <w:rPr>
                <w:sz w:val="19"/>
              </w:rPr>
              <w:t>Where it communicates — destinations, external traffic, domain lookups.</w:t>
            </w:r>
          </w:p>
        </w:tc>
        <w:tc>
          <w:tcPr>
            <w:tcW w:w="4176" w:type="dxa"/>
          </w:tcPr>
          <w:p w14:paraId="76AC1674" w14:textId="77777777" w:rsidR="00364F09" w:rsidRDefault="00000000">
            <w:pPr>
              <w:spacing w:before="40" w:after="40"/>
            </w:pPr>
            <w:r>
              <w:rPr>
                <w:sz w:val="19"/>
              </w:rPr>
              <w:t>Covert call-home channels and data removal routes.</w:t>
            </w:r>
          </w:p>
        </w:tc>
      </w:tr>
      <w:tr w:rsidR="00364F09" w14:paraId="2C31E3D6" w14:textId="77777777">
        <w:trPr>
          <w:jc w:val="center"/>
        </w:trPr>
        <w:tc>
          <w:tcPr>
            <w:tcW w:w="1872" w:type="dxa"/>
            <w:shd w:val="clear" w:color="auto" w:fill="F4F6F8"/>
          </w:tcPr>
          <w:p w14:paraId="1BCE58ED" w14:textId="77777777" w:rsidR="00364F09" w:rsidRDefault="00000000">
            <w:pPr>
              <w:spacing w:before="40" w:after="40"/>
            </w:pPr>
            <w:r>
              <w:rPr>
                <w:b/>
                <w:sz w:val="19"/>
              </w:rPr>
              <w:t>Risk posture</w:t>
            </w:r>
          </w:p>
        </w:tc>
        <w:tc>
          <w:tcPr>
            <w:tcW w:w="3888" w:type="dxa"/>
          </w:tcPr>
          <w:p w14:paraId="56362A67" w14:textId="77777777" w:rsidR="00364F09" w:rsidRDefault="00000000">
            <w:pPr>
              <w:spacing w:before="40" w:after="40"/>
            </w:pPr>
            <w:r>
              <w:rPr>
                <w:sz w:val="19"/>
              </w:rPr>
              <w:t>Endpoint health — suspicious process activity and risk indicators.</w:t>
            </w:r>
          </w:p>
        </w:tc>
        <w:tc>
          <w:tcPr>
            <w:tcW w:w="4176" w:type="dxa"/>
          </w:tcPr>
          <w:p w14:paraId="770594FF" w14:textId="77777777" w:rsidR="00364F09" w:rsidRDefault="00000000">
            <w:pPr>
              <w:spacing w:before="40" w:after="40"/>
            </w:pPr>
            <w:r>
              <w:rPr>
                <w:sz w:val="19"/>
              </w:rPr>
              <w:t>Compromised machines and privilege-escalation tooling.</w:t>
            </w:r>
          </w:p>
        </w:tc>
      </w:tr>
    </w:tbl>
    <w:p w14:paraId="10FE637C" w14:textId="77777777" w:rsidR="00364F09" w:rsidRDefault="00364F09">
      <w:pPr>
        <w:spacing w:after="40"/>
      </w:pPr>
    </w:p>
    <w:p w14:paraId="0A3B3E41" w14:textId="77777777" w:rsidR="00364F09" w:rsidRDefault="00000000">
      <w: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14:paraId="1DCFEB8D" w14:textId="77777777" w:rsidR="00364F09" w:rsidRDefault="00000000">
      <w:pPr>
        <w:spacing w:before="160" w:after="60"/>
      </w:pPr>
      <w:r>
        <w:rPr>
          <w:b/>
          <w:color w:val="C25A12"/>
          <w:sz w:val="24"/>
        </w:rPr>
        <w:t>4.2  Semantic embeddings — a map of meaning</w:t>
      </w:r>
    </w:p>
    <w:p w14:paraId="4C8C52F1" w14:textId="77777777" w:rsidR="00364F09" w:rsidRDefault="00000000">
      <w:r>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activities that play similar roles — a sign-in, an app launch, a data download, an API call — sit near each other when they mean similar things, even when their raw numbers differ.</w:t>
      </w:r>
      <w:r/>
      <w:r w:rsidR="00E33F89">
        <w:rPr>
          <w:rStyle w:val="CommentReference"/>
          <w:sz w:val="21"/>
          <w:szCs w:val="22"/>
        </w:rPr>
      </w:r>
      <w:r w:rsidR="00856BB1">
        <w:rPr>
          <w:rStyle w:val="CommentReference"/>
          <w:sz w:val="21"/>
          <w:szCs w:val="22"/>
        </w:rPr>
      </w:r>
      <w:r/>
    </w:p>
    <w:p w14:paraId="3E56D5C5" w14:textId="77777777" w:rsidR="00364F09" w:rsidRDefault="00000000">
      <w: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14:paraId="2453C7D3" w14:textId="77777777" w:rsidR="00364F09" w:rsidRDefault="00000000">
      <w:pPr>
        <w:spacing w:before="120" w:after="0"/>
        <w:jc w:val="center"/>
      </w:pPr>
      <w:r>
        <w:rPr>
          <w:noProof/>
        </w:rPr>
        <w:drawing>
          <wp:inline distT="0" distB="0" distL="0" distR="0" wp14:anchorId="5337F6E5" wp14:editId="2507A043">
            <wp:extent cx="5852160" cy="2682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semantic.png"/>
                    <pic:cNvPicPr/>
                  </pic:nvPicPr>
                  <pic:blipFill>
                    <a:blip r:embed="rId11"/>
                    <a:stretch>
                      <a:fillRect/>
                    </a:stretch>
                  </pic:blipFill>
                  <pic:spPr>
                    <a:xfrm>
                      <a:off x="0" y="0"/>
                      <a:ext cx="5852160" cy="2682240"/>
                    </a:xfrm>
                    <a:prstGeom prst="rect">
                      <a:avLst/>
                    </a:prstGeom>
                  </pic:spPr>
                </pic:pic>
              </a:graphicData>
            </a:graphic>
          </wp:inline>
        </w:drawing>
      </w:r>
    </w:p>
    <w:p w14:paraId="3D25BAA6" w14:textId="77777777" w:rsidR="00364F09" w:rsidRDefault="00000000">
      <w:pPr>
        <w:spacing w:after="160"/>
        <w:jc w:val="center"/>
      </w:pPr>
      <w:r>
        <w:rPr>
          <w:i/>
          <w:color w:val="555F6B"/>
          <w:sz w:val="17"/>
        </w:rPr>
        <w:t xml:space="preserve">Figure 2 — All 250 users, both representations (synthetic dataset). Left: each user's final cumulative-drift score on the 23 raw metrics, sorted — the four attackers (colored) land mid-pack at ranks #90–#133, indistinguishable from normal users. Right: cumulative drift in semantic embedding space over the full 70 weeks — the insider rises to </w:t>
      </w:r>
      <w:r>
        <w:rPr>
          <w:i/>
          <w:color w:val="555F6B"/>
          <w:sz w:val="17"/>
        </w:rPr>
        <w:t>#1 (above every normal user), Salt Typhoon to #4, Volt Typhoon to #13. The slow APT stays buried in drift and is caught by novelty persistence instead (Figure 5).</w:t>
      </w:r>
    </w:p>
    <w:p w14:paraId="6B7659B4" w14:textId="77777777" w:rsidR="00364F09" w:rsidRDefault="00000000">
      <w:pPr>
        <w:spacing w:before="160" w:after="60"/>
      </w:pPr>
      <w:r>
        <w:rPr>
          <w:b/>
          <w:color w:val="C25A12"/>
          <w:sz w:val="24"/>
        </w:rPr>
        <w:t>4.3  Drift, direction, and naming the threat</w:t>
      </w:r>
    </w:p>
    <w:p w14:paraId="365C41B5" w14:textId="77777777" w:rsidR="00364F09" w:rsidRDefault="00000000">
      <w:r>
        <w:rPr/>
        <w:t>Tracking an entity's position week over week produces a trajectory — and the trajectory reveals drift: the direction its behavior is trending, how fast, and how steadily. A cumulative change-detection method — the same family used to catch slow equipment degradation in industrial quality control — adds up these small weekly shifts until they become impossible to dismiss. This is what catches “slow and low.” The exact accumulation logic, thresholds, and parameters are proprietary and withheld in this edition.</w:t>
      </w:r>
    </w:p>
    <w:p w14:paraId="0C518537" w14:textId="77777777" w:rsidR="00364F09" w:rsidRDefault="00000000">
      <w:r>
        <w:rPr/>
        <w:t>The system then names the direction. It holds a library of known attack patterns — short, plain-language descriptions of how real adversaries behave, each mapped to MITRE ATT&amp;CK, the public catalog of attacker techniques. When an entity's drift points toward one of them — data staging for exfiltration, say, or covert beaconing — the alert names that pattern and attaches the matching ATT&amp;CK techniques. Every simulated campaign in this study was built from real, documented technique sets and is scored against them.</w:t>
      </w:r>
      <w:r w:rsidR="00DB25C5">
        <w:rPr>
          <w:rStyle w:val="CommentReference"/>
          <w:sz w:val="21"/>
          <w:szCs w:val="22"/>
        </w:rPr>
      </w:r>
      <w:r w:rsidR="00856BB1">
        <w:rPr>
          <w:rStyle w:val="CommentReference"/>
          <w:sz w:val="21"/>
          <w:szCs w:val="22"/>
        </w:rPr>
      </w:r>
      <w:r/>
    </w:p>
    <w:p w14:paraId="2E7034E5" w14:textId="77777777" w:rsidR="00364F09" w:rsidRDefault="00000000">
      <w:r>
        <w:t>Each attack family writes a recognizably different signature on the chart:</w:t>
      </w:r>
    </w:p>
    <w:tbl>
      <w:tblPr>
        <w:tblStyle w:val="TableGrid"/>
        <w:tblW w:w="0" w:type="auto"/>
        <w:jc w:val="center"/>
        <w:tblLook w:val="04A0" w:firstRow="1" w:lastRow="0" w:firstColumn="1" w:lastColumn="0" w:noHBand="0" w:noVBand="1"/>
      </w:tblPr>
      <w:tblGrid>
        <w:gridCol w:w="1996"/>
        <w:gridCol w:w="4229"/>
        <w:gridCol w:w="3557"/>
      </w:tblGrid>
      <w:tr w:rsidR="00364F09" w14:paraId="061F5D6F" w14:textId="77777777">
        <w:trPr>
          <w:jc w:val="center"/>
        </w:trPr>
        <w:tc>
          <w:tcPr>
            <w:tcW w:w="2016" w:type="dxa"/>
            <w:shd w:val="clear" w:color="auto" w:fill="0B1F3A"/>
          </w:tcPr>
          <w:p w14:paraId="21AA0B96" w14:textId="77777777" w:rsidR="00364F09" w:rsidRDefault="00000000">
            <w:pPr>
              <w:spacing w:before="40" w:after="40"/>
            </w:pPr>
            <w:r>
              <w:rPr>
                <w:b/>
                <w:color w:val="FFFFFF"/>
                <w:sz w:val="19"/>
              </w:rPr>
              <w:lastRenderedPageBreak/>
              <w:t>Threat</w:t>
            </w:r>
          </w:p>
        </w:tc>
        <w:tc>
          <w:tcPr>
            <w:tcW w:w="4320" w:type="dxa"/>
            <w:shd w:val="clear" w:color="auto" w:fill="0B1F3A"/>
          </w:tcPr>
          <w:p w14:paraId="138B3D88" w14:textId="77777777" w:rsidR="00364F09" w:rsidRDefault="00000000">
            <w:pPr>
              <w:spacing w:before="40" w:after="40"/>
            </w:pPr>
            <w:r>
              <w:rPr>
                <w:b/>
                <w:color w:val="FFFFFF"/>
                <w:sz w:val="19"/>
              </w:rPr>
              <w:t>Behavioral signature</w:t>
            </w:r>
          </w:p>
        </w:tc>
        <w:tc>
          <w:tcPr>
            <w:tcW w:w="3600" w:type="dxa"/>
            <w:shd w:val="clear" w:color="auto" w:fill="0B1F3A"/>
          </w:tcPr>
          <w:p w14:paraId="5FC43B2F" w14:textId="77777777" w:rsidR="00364F09" w:rsidRDefault="00000000">
            <w:pPr>
              <w:spacing w:before="40" w:after="40"/>
            </w:pPr>
            <w:r>
              <w:rPr>
                <w:b/>
                <w:color w:val="FFFFFF"/>
                <w:sz w:val="19"/>
              </w:rPr>
              <w:t>Real-world parallel</w:t>
            </w:r>
          </w:p>
        </w:tc>
      </w:tr>
      <w:tr w:rsidR="00364F09" w14:paraId="66B5CE99" w14:textId="77777777">
        <w:trPr>
          <w:jc w:val="center"/>
        </w:trPr>
        <w:tc>
          <w:tcPr>
            <w:tcW w:w="2016" w:type="dxa"/>
            <w:shd w:val="clear" w:color="auto" w:fill="F4F6F8"/>
          </w:tcPr>
          <w:p w14:paraId="7C501940" w14:textId="77777777" w:rsidR="00364F09" w:rsidRDefault="00000000">
            <w:pPr>
              <w:spacing w:before="40" w:after="40"/>
            </w:pPr>
            <w:r>
              <w:rPr>
                <w:b/>
                <w:sz w:val="19"/>
              </w:rPr>
              <w:t>Insider threat</w:t>
            </w:r>
          </w:p>
        </w:tc>
        <w:tc>
          <w:tcPr>
            <w:tcW w:w="4320" w:type="dxa"/>
          </w:tcPr>
          <w:p w14:paraId="27E5B9B7" w14:textId="77777777" w:rsidR="00364F09" w:rsidRDefault="00000000">
            <w:pPr>
              <w:spacing w:before="40" w:after="40"/>
            </w:pPr>
            <w:r>
              <w:rPr>
                <w:sz w:val="19"/>
              </w:rPr>
              <w:t>Identity zone stable; data-behavior zone drifting steadily for months.</w:t>
            </w:r>
          </w:p>
        </w:tc>
        <w:tc>
          <w:tcPr>
            <w:tcW w:w="3600" w:type="dxa"/>
          </w:tcPr>
          <w:p w14:paraId="331278EC" w14:textId="77777777" w:rsidR="00364F09" w:rsidRDefault="00000000">
            <w:pPr>
              <w:spacing w:before="40" w:after="40"/>
            </w:pPr>
            <w:r>
              <w:rPr>
                <w:sz w:val="19"/>
              </w:rPr>
              <w:t>Snowden, Manning; departing-employee IP theft.</w:t>
            </w:r>
          </w:p>
        </w:tc>
      </w:tr>
      <w:tr w:rsidR="00364F09" w14:paraId="4EFBFAE9" w14:textId="77777777">
        <w:trPr>
          <w:jc w:val="center"/>
        </w:trPr>
        <w:tc>
          <w:tcPr>
            <w:tcW w:w="2016" w:type="dxa"/>
            <w:shd w:val="clear" w:color="auto" w:fill="F4F6F8"/>
          </w:tcPr>
          <w:p w14:paraId="67C3ADC1" w14:textId="77777777" w:rsidR="00364F09" w:rsidRDefault="00000000">
            <w:pPr>
              <w:spacing w:before="40" w:after="40"/>
            </w:pPr>
            <w:r>
              <w:rPr>
                <w:b/>
                <w:sz w:val="19"/>
              </w:rPr>
              <w:t>Slow APT (covert C2)</w:t>
            </w:r>
          </w:p>
        </w:tc>
        <w:tc>
          <w:tcPr>
            <w:tcW w:w="4320" w:type="dxa"/>
          </w:tcPr>
          <w:p w14:paraId="58EDADB6" w14:textId="77777777" w:rsidR="00364F09" w:rsidRDefault="00000000">
            <w:pPr>
              <w:spacing w:before="40" w:after="40"/>
            </w:pPr>
            <w:r>
              <w:rPr>
                <w:sz w:val="19"/>
              </w:rPr>
              <w:t>Identity stable; network-footprint zone drifting — new recurring external contacts.</w:t>
            </w:r>
          </w:p>
        </w:tc>
        <w:tc>
          <w:tcPr>
            <w:tcW w:w="3600" w:type="dxa"/>
          </w:tcPr>
          <w:p w14:paraId="312E0ED6" w14:textId="77777777" w:rsidR="00364F09" w:rsidRDefault="00000000">
            <w:pPr>
              <w:spacing w:before="40" w:after="40"/>
            </w:pPr>
            <w:r>
              <w:rPr>
                <w:sz w:val="19"/>
              </w:rPr>
              <w:t>SolarWinds/SUNBURST: 9 months undetected, 18,000+ organizations.</w:t>
            </w:r>
          </w:p>
        </w:tc>
      </w:tr>
      <w:tr w:rsidR="00364F09" w14:paraId="27E9AC81" w14:textId="77777777">
        <w:trPr>
          <w:jc w:val="center"/>
        </w:trPr>
        <w:tc>
          <w:tcPr>
            <w:tcW w:w="2016" w:type="dxa"/>
            <w:shd w:val="clear" w:color="auto" w:fill="F4F6F8"/>
          </w:tcPr>
          <w:p w14:paraId="33D5AE50" w14:textId="77777777" w:rsidR="00364F09" w:rsidRDefault="00000000">
            <w:pPr>
              <w:spacing w:before="40" w:after="40"/>
            </w:pPr>
            <w:r>
              <w:rPr>
                <w:b/>
                <w:sz w:val="19"/>
              </w:rPr>
              <w:t>Living off the land</w:t>
            </w:r>
          </w:p>
        </w:tc>
        <w:tc>
          <w:tcPr>
            <w:tcW w:w="4320" w:type="dxa"/>
          </w:tcPr>
          <w:p w14:paraId="278CFB98" w14:textId="77777777" w:rsidR="00364F09" w:rsidRDefault="00000000">
            <w:pPr>
              <w:spacing w:before="40" w:after="40"/>
            </w:pPr>
            <w:r>
              <w:rPr>
                <w:sz w:val="19"/>
              </w:rPr>
              <w:t>A regime shift — all five zones step to a new operating mode at once.</w:t>
            </w:r>
          </w:p>
        </w:tc>
        <w:tc>
          <w:tcPr>
            <w:tcW w:w="3600" w:type="dxa"/>
          </w:tcPr>
          <w:p w14:paraId="669CC976" w14:textId="77777777" w:rsidR="00364F09" w:rsidRDefault="00000000">
            <w:pPr>
              <w:spacing w:before="40" w:after="40"/>
            </w:pPr>
            <w:r>
              <w:rPr>
                <w:sz w:val="19"/>
              </w:rPr>
              <w:t>Volt Typhoon: 5+ years undetected in U.S. critical infrastructure.</w:t>
            </w:r>
          </w:p>
        </w:tc>
      </w:tr>
      <w:tr w:rsidR="00364F09" w14:paraId="5B5E9720" w14:textId="77777777">
        <w:trPr>
          <w:jc w:val="center"/>
        </w:trPr>
        <w:tc>
          <w:tcPr>
            <w:tcW w:w="2016" w:type="dxa"/>
            <w:shd w:val="clear" w:color="auto" w:fill="F4F6F8"/>
          </w:tcPr>
          <w:p w14:paraId="4A8B9546" w14:textId="77777777" w:rsidR="00364F09" w:rsidRDefault="00000000">
            <w:pPr>
              <w:spacing w:before="40" w:after="40"/>
            </w:pPr>
            <w:r>
              <w:rPr>
                <w:b/>
                <w:sz w:val="19"/>
              </w:rPr>
              <w:t>Telecom infrastructure</w:t>
            </w:r>
          </w:p>
        </w:tc>
        <w:tc>
          <w:tcPr>
            <w:tcW w:w="4320" w:type="dxa"/>
          </w:tcPr>
          <w:p w14:paraId="67EA720C" w14:textId="77777777" w:rsidR="00364F09" w:rsidRDefault="00000000">
            <w:pPr>
              <w:spacing w:before="40" w:after="40"/>
            </w:pPr>
            <w:r>
              <w:rPr>
                <w:sz w:val="19"/>
              </w:rPr>
              <w:t>Persistent multi-zone drift — network and data zones moving together for 100+ days.</w:t>
            </w:r>
          </w:p>
        </w:tc>
        <w:tc>
          <w:tcPr>
            <w:tcW w:w="3600" w:type="dxa"/>
          </w:tcPr>
          <w:p w14:paraId="28262B79" w14:textId="77777777" w:rsidR="00364F09" w:rsidRDefault="00000000">
            <w:pPr>
              <w:spacing w:before="40" w:after="40"/>
            </w:pPr>
            <w:r>
              <w:rPr>
                <w:sz w:val="19"/>
              </w:rPr>
              <w:t>Salt Typhoon: at least 9 U.S. telecom providers compromised.</w:t>
            </w:r>
          </w:p>
        </w:tc>
      </w:tr>
    </w:tbl>
    <w:p w14:paraId="56D87C1E" w14:textId="77777777" w:rsidR="00364F09" w:rsidRDefault="00364F09">
      <w:pPr>
        <w:spacing w:after="40"/>
      </w:pPr>
    </w:p>
    <w:p w14:paraId="4A1E6E67" w14:textId="77777777" w:rsidR="00364F09" w:rsidRDefault="00000000">
      <w:pPr>
        <w:spacing w:before="160" w:after="60"/>
      </w:pPr>
      <w:r>
        <w:rPr>
          <w:b/>
          <w:color w:val="C25A12"/>
          <w:sz w:val="24"/>
        </w:rPr>
        <w:t>4.4  Multi-phase composite scoring — five questions, one ranked list</w:t>
      </w:r>
    </w:p>
    <w:p w14:paraId="0C7E47A7" w14:textId="77777777" w:rsidR="00364F09" w:rsidRDefault="00000000">
      <w:r>
        <w:t xml:space="preserve">No single signal catches all four families — each attack evades a different detector. The production answer is composite scoring: five independent behavioral questions are asked of every user, and the answers fuse into a single ranked risk score. </w:t>
      </w:r>
      <w:r>
        <w:t>A normal user may score high on one question by chance</w:t>
      </w:r>
      <w:r>
        <w:t>; an attacker scores high on several at once. The questions (exact scoring logic withheld):</w:t>
      </w:r>
    </w:p>
    <w:tbl>
      <w:tblPr>
        <w:tblStyle w:val="TableGrid"/>
        <w:tblW w:w="0" w:type="auto"/>
        <w:jc w:val="center"/>
        <w:tblLook w:val="04A0" w:firstRow="1" w:lastRow="0" w:firstColumn="1" w:lastColumn="0" w:noHBand="0" w:noVBand="1"/>
      </w:tblPr>
      <w:tblGrid>
        <w:gridCol w:w="2279"/>
        <w:gridCol w:w="7503"/>
      </w:tblGrid>
      <w:tr w:rsidR="00364F09" w14:paraId="62D91E99" w14:textId="77777777">
        <w:trPr>
          <w:jc w:val="center"/>
        </w:trPr>
        <w:tc>
          <w:tcPr>
            <w:tcW w:w="2304" w:type="dxa"/>
            <w:shd w:val="clear" w:color="auto" w:fill="0B1F3A"/>
          </w:tcPr>
          <w:p w14:paraId="638F8A29" w14:textId="77777777" w:rsidR="00364F09" w:rsidRDefault="00000000">
            <w:pPr>
              <w:spacing w:before="40" w:after="40"/>
            </w:pPr>
            <w:r>
              <w:rPr>
                <w:b/>
                <w:color w:val="FFFFFF"/>
                <w:sz w:val="19"/>
              </w:rPr>
              <w:t>Phase</w:t>
            </w:r>
          </w:p>
        </w:tc>
        <w:tc>
          <w:tcPr>
            <w:tcW w:w="7632" w:type="dxa"/>
            <w:shd w:val="clear" w:color="auto" w:fill="0B1F3A"/>
          </w:tcPr>
          <w:p w14:paraId="14B44574" w14:textId="77777777" w:rsidR="00364F09" w:rsidRDefault="00000000">
            <w:pPr>
              <w:spacing w:before="40" w:after="40"/>
            </w:pPr>
            <w:r>
              <w:rPr>
                <w:b/>
                <w:color w:val="FFFFFF"/>
                <w:sz w:val="19"/>
              </w:rPr>
              <w:t>The question it asks</w:t>
            </w:r>
          </w:p>
        </w:tc>
      </w:tr>
      <w:tr w:rsidR="00364F09" w14:paraId="45EAE6FD" w14:textId="77777777">
        <w:trPr>
          <w:jc w:val="center"/>
        </w:trPr>
        <w:tc>
          <w:tcPr>
            <w:tcW w:w="2304" w:type="dxa"/>
            <w:shd w:val="clear" w:color="auto" w:fill="F4F6F8"/>
          </w:tcPr>
          <w:p w14:paraId="3E77BAE9" w14:textId="77777777" w:rsidR="00364F09" w:rsidRDefault="00000000">
            <w:pPr>
              <w:spacing w:before="40" w:after="40"/>
            </w:pPr>
            <w:r>
              <w:rPr>
                <w:b/>
                <w:sz w:val="19"/>
              </w:rPr>
              <w:t>Signal strength</w:t>
            </w:r>
          </w:p>
        </w:tc>
        <w:tc>
          <w:tcPr>
            <w:tcW w:w="7632" w:type="dxa"/>
          </w:tcPr>
          <w:p w14:paraId="124A42A1" w14:textId="77777777" w:rsidR="00364F09" w:rsidRDefault="00000000">
            <w:pPr>
              <w:spacing w:before="40" w:after="40"/>
            </w:pPr>
            <w:r>
              <w:rPr>
                <w:sz w:val="19"/>
              </w:rPr>
              <w:t>How extreme are this user's strongest deviations, compared with peers in the same role?</w:t>
            </w:r>
          </w:p>
        </w:tc>
      </w:tr>
      <w:tr w:rsidR="00364F09" w14:paraId="48D1DD26" w14:textId="77777777">
        <w:trPr>
          <w:jc w:val="center"/>
        </w:trPr>
        <w:tc>
          <w:tcPr>
            <w:tcW w:w="2304" w:type="dxa"/>
            <w:shd w:val="clear" w:color="auto" w:fill="F4F6F8"/>
          </w:tcPr>
          <w:p w14:paraId="5FAC6335" w14:textId="77777777" w:rsidR="00364F09" w:rsidRDefault="00000000">
            <w:pPr>
              <w:spacing w:before="40" w:after="40"/>
            </w:pPr>
            <w:r>
              <w:rPr>
                <w:b/>
                <w:sz w:val="19"/>
              </w:rPr>
              <w:t>Breadth</w:t>
            </w:r>
          </w:p>
        </w:tc>
        <w:tc>
          <w:tcPr>
            <w:tcW w:w="7632" w:type="dxa"/>
          </w:tcPr>
          <w:p w14:paraId="7366C649" w14:textId="77777777" w:rsidR="00364F09" w:rsidRDefault="00000000">
            <w:pPr>
              <w:spacing w:before="40" w:after="40"/>
            </w:pPr>
            <w:r>
              <w:rPr>
                <w:sz w:val="19"/>
              </w:rPr>
              <w:t>How many different behavioral measurements are elevated at once — one noisy metric, or a pattern?</w:t>
            </w:r>
          </w:p>
        </w:tc>
      </w:tr>
      <w:tr w:rsidR="00364F09" w14:paraId="317F88F5" w14:textId="77777777">
        <w:trPr>
          <w:jc w:val="center"/>
        </w:trPr>
        <w:tc>
          <w:tcPr>
            <w:tcW w:w="2304" w:type="dxa"/>
            <w:shd w:val="clear" w:color="auto" w:fill="F4F6F8"/>
          </w:tcPr>
          <w:p w14:paraId="361DD398" w14:textId="77777777" w:rsidR="00364F09" w:rsidRDefault="00000000">
            <w:pPr>
              <w:spacing w:before="40" w:after="40"/>
            </w:pPr>
            <w:r>
              <w:rPr>
                <w:b/>
                <w:sz w:val="19"/>
              </w:rPr>
              <w:t>Sustained deviation</w:t>
            </w:r>
          </w:p>
        </w:tc>
        <w:tc>
          <w:tcPr>
            <w:tcW w:w="7632" w:type="dxa"/>
          </w:tcPr>
          <w:p w14:paraId="314B516D" w14:textId="77777777" w:rsidR="00364F09" w:rsidRDefault="00000000">
            <w:pPr>
              <w:spacing w:before="40" w:after="40"/>
            </w:pPr>
            <w:r>
              <w:rPr>
                <w:sz w:val="19"/>
              </w:rPr>
              <w:t>Does the anomaly persist week after week, or was it a one-off event?</w:t>
            </w:r>
          </w:p>
        </w:tc>
      </w:tr>
      <w:tr w:rsidR="00364F09" w14:paraId="56B15511" w14:textId="77777777">
        <w:trPr>
          <w:jc w:val="center"/>
        </w:trPr>
        <w:tc>
          <w:tcPr>
            <w:tcW w:w="2304" w:type="dxa"/>
            <w:shd w:val="clear" w:color="auto" w:fill="F4F6F8"/>
          </w:tcPr>
          <w:p w14:paraId="04B5E7FD" w14:textId="77777777" w:rsidR="00364F09" w:rsidRDefault="00000000">
            <w:pPr>
              <w:spacing w:before="40" w:after="40"/>
            </w:pPr>
            <w:r>
              <w:rPr>
                <w:b/>
                <w:sz w:val="19"/>
              </w:rPr>
              <w:t>Context divergence</w:t>
            </w:r>
          </w:p>
        </w:tc>
        <w:tc>
          <w:tcPr>
            <w:tcW w:w="7632" w:type="dxa"/>
          </w:tcPr>
          <w:p w14:paraId="5191853D" w14:textId="77777777" w:rsidR="00364F09" w:rsidRDefault="00000000">
            <w:pPr>
              <w:spacing w:before="40" w:after="40"/>
            </w:pPr>
            <w:r>
              <w:rPr>
                <w:sz w:val="19"/>
              </w:rPr>
              <w:t>Does the user look anomalous when viewed through attack-specific lenses (insider lens, APT-hunt lens, privilege-audit lens)?</w:t>
            </w:r>
          </w:p>
        </w:tc>
      </w:tr>
      <w:tr w:rsidR="00364F09" w14:paraId="35812706" w14:textId="77777777">
        <w:trPr>
          <w:jc w:val="center"/>
        </w:trPr>
        <w:tc>
          <w:tcPr>
            <w:tcW w:w="2304" w:type="dxa"/>
            <w:shd w:val="clear" w:color="auto" w:fill="F4F6F8"/>
          </w:tcPr>
          <w:p w14:paraId="6C195A32" w14:textId="77777777" w:rsidR="00364F09" w:rsidRDefault="00000000">
            <w:pPr>
              <w:spacing w:before="40" w:after="40"/>
            </w:pPr>
            <w:r>
              <w:rPr>
                <w:b/>
                <w:sz w:val="19"/>
              </w:rPr>
              <w:t>Novelty persistence</w:t>
            </w:r>
          </w:p>
        </w:tc>
        <w:tc>
          <w:tcPr>
            <w:tcW w:w="7632" w:type="dxa"/>
          </w:tcPr>
          <w:p w14:paraId="23A61505" w14:textId="77777777" w:rsidR="00364F09" w:rsidRDefault="00000000">
            <w:pPr>
              <w:spacing w:before="40" w:after="40"/>
            </w:pPr>
            <w:r>
              <w:rPr>
                <w:sz w:val="19"/>
              </w:rPr>
              <w:t>Has a never-before-seen behavior — a new external contact point, a new domain — appeared and kept recurring?</w:t>
            </w:r>
          </w:p>
        </w:tc>
      </w:tr>
    </w:tbl>
    <w:p w14:paraId="36C2F296" w14:textId="77777777" w:rsidR="00364F09" w:rsidRDefault="00364F09">
      <w:pPr>
        <w:spacing w:after="40"/>
      </w:pPr>
    </w:p>
    <w:p>
      <w:pPr>
        <w:spacing w:before="160" w:after="60"/>
      </w:pPr>
      <w:r>
        <w:rPr>
          <w:b/>
          <w:i w:val="0"/>
          <w:color w:val="C25A12"/>
          <w:sz w:val="22"/>
        </w:rPr>
        <w:t>How a score becomes a number.</w:t>
      </w:r>
    </w:p>
    <w:p>
      <w:pPr>
        <w:spacing w:before="80" w:after="120"/>
      </w:pPr>
      <w:r>
        <w:rPr>
          <w:b w:val="0"/>
          <w:i w:val="0"/>
          <w:sz w:val="21"/>
        </w:rPr>
        <w:t>Each zone's weekly drift is summarized into a few simple traits — how large, how broad, how persistent, how it trends, and how late it escalates. Every trait is then expressed as a z-score: the number of standard deviations it sits above the norm for the user's role peers, so a developer is judged against developers, not executives. The five phases in the table above are summaries of those z-scores — the strongest few, how many are elevated, how persistent they are, and how the picture changes under attack-specific lenses — plus novelty persistence, which simply asks whether a never-before-seen contact keeps recurring.</w:t>
      </w:r>
    </w:p>
    <w:p>
      <w:pPr>
        <w:spacing w:before="80" w:after="120"/>
      </w:pPr>
      <w:r>
        <w:rPr>
          <w:b w:val="0"/>
          <w:i w:val="0"/>
          <w:sz w:val="21"/>
        </w:rPr>
        <w:t>So a “point” in the score is one standard deviation of peer-relative deviation, and the five phases are combined with fixed weights (withheld here) into a single ranked number. Normal users sit near the center of that peer-relative space; only a genuine attacker reaches the edges on several phases at once.</w:t>
      </w:r>
    </w:p>
    <w:p>
      <w:pPr>
        <w:jc w:val="center"/>
      </w:pPr>
      <w:r>
        <w:drawing>
          <wp:inline xmlns:a="http://schemas.openxmlformats.org/drawingml/2006/main" xmlns:pic="http://schemas.openxmlformats.org/drawingml/2006/picture">
            <wp:extent cx="5669280" cy="1509033"/>
            <wp:docPr id="6" name="Picture 6"/>
            <wp:cNvGraphicFramePr>
              <a:graphicFrameLocks noChangeAspect="1"/>
            </wp:cNvGraphicFramePr>
            <a:graphic>
              <a:graphicData uri="http://schemas.openxmlformats.org/drawingml/2006/picture">
                <pic:pic>
                  <pic:nvPicPr>
                    <pic:cNvPr id="0" name="_score_flow.png"/>
                    <pic:cNvPicPr/>
                  </pic:nvPicPr>
                  <pic:blipFill>
                    <a:blip r:embed="rId18"/>
                    <a:stretch>
                      <a:fillRect/>
                    </a:stretch>
                  </pic:blipFill>
                  <pic:spPr>
                    <a:xfrm>
                      <a:off x="0" y="0"/>
                      <a:ext cx="5669280" cy="1509033"/>
                    </a:xfrm>
                    <a:prstGeom prst="rect"/>
                  </pic:spPr>
                </pic:pic>
              </a:graphicData>
            </a:graphic>
          </wp:inline>
        </w:drawing>
      </w:r>
    </w:p>
    <w:p>
      <w:pPr>
        <w:jc w:val="center"/>
      </w:pPr>
      <w:r>
        <w:rPr>
          <w:i/>
          <w:color w:val="555555"/>
          <w:sz w:val="17"/>
        </w:rPr>
        <w:t>Schematic — how five behavioral zones become one ranked score. Four phases read the deviation structure; novelty persistence is a separate recurrence signal.</w:t>
      </w:r>
    </w:p>
    <w:p w14:paraId="6FE1436C" w14:textId="77777777" w:rsidR="00364F09" w:rsidRDefault="00000000">
      <w: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14:paraId="2FE48BC2" w14:textId="77777777" w:rsidR="00364F09" w:rsidRDefault="00000000">
      <w:pPr>
        <w:spacing w:before="280" w:after="80"/>
      </w:pPr>
      <w:r>
        <w:rPr>
          <w:b/>
          <w:color w:val="0B1F3A"/>
          <w:sz w:val="30"/>
        </w:rPr>
        <w:t>5.  What the Evidence Shows (Synthetic Data)</w:t>
      </w:r>
    </w:p>
    <w:p w14:paraId="6DD25F2D" w14:textId="77777777" w:rsidR="00364F09" w:rsidRDefault="00000000">
      <w:pPr>
        <w:spacing w:before="160" w:after="60"/>
      </w:pPr>
      <w:r>
        <w:rPr>
          <w:b/>
          <w:color w:val="C25A12"/>
          <w:sz w:val="24"/>
        </w:rPr>
        <w:t xml:space="preserve">5.1  </w:t>
      </w:r>
      <w:r>
        <w:rPr>
          <w:b/>
          <w:color w:val="C25A12"/>
          <w:sz w:val="24"/>
        </w:rPr>
        <w:t>The scoreboard</w:t>
      </w:r>
    </w:p>
    <w:p w14:paraId="3A9A290D" w14:textId="77777777" w:rsidR="00364F09" w:rsidRDefault="00000000">
      <w:r>
        <w:t>Four industry-standard anomaly-detection algorithms — Z-Score statistics, Isolation Forest, Local Outlier Factor, and One-Class SVM (Support Vector Machine) — were run against the full 250-user population alongside composite scoring. Every number below comes directly from the evaluation data.</w:t>
      </w:r>
      <w:r/>
      <w:r w:rsidR="00DB25C5">
        <w:rPr>
          <w:rStyle w:val="CommentReference"/>
          <w:sz w:val="21"/>
          <w:szCs w:val="22"/>
        </w:rPr>
      </w:r>
      <w:r/>
    </w:p>
    <w:tbl>
      <w:tblPr>
        <w:tblStyle w:val="TableGrid"/>
        <w:tblW w:w="0" w:type="auto"/>
        <w:jc w:val="center"/>
        <w:tblLook w:val="04A0" w:firstRow="1" w:lastRow="0" w:firstColumn="1" w:lastColumn="0" w:noHBand="0" w:noVBand="1"/>
      </w:tblPr>
      <w:tblGrid>
        <w:gridCol w:w="2413"/>
        <w:gridCol w:w="1707"/>
        <w:gridCol w:w="1705"/>
        <w:gridCol w:w="3957"/>
      </w:tblGrid>
      <w:tr w:rsidR="00364F09" w14:paraId="4684BA22" w14:textId="77777777">
        <w:trPr>
          <w:jc w:val="center"/>
        </w:trPr>
        <w:tc>
          <w:tcPr>
            <w:tcW w:w="2448" w:type="dxa"/>
            <w:shd w:val="clear" w:color="auto" w:fill="0B1F3A"/>
          </w:tcPr>
          <w:p w14:paraId="47259A2F" w14:textId="77777777" w:rsidR="00364F09" w:rsidRDefault="00000000">
            <w:pPr>
              <w:spacing w:before="40" w:after="40"/>
            </w:pPr>
            <w:r>
              <w:rPr>
                <w:b/>
                <w:color w:val="FFFFFF"/>
                <w:sz w:val="19"/>
              </w:rPr>
              <w:t>Method</w:t>
            </w:r>
          </w:p>
        </w:tc>
        <w:tc>
          <w:tcPr>
            <w:tcW w:w="1728" w:type="dxa"/>
            <w:shd w:val="clear" w:color="auto" w:fill="0B1F3A"/>
          </w:tcPr>
          <w:p w14:paraId="0898DB56" w14:textId="77777777" w:rsidR="00364F09" w:rsidRDefault="00000000">
            <w:pPr>
              <w:spacing w:before="40" w:after="40"/>
            </w:pPr>
            <w:r>
              <w:rPr>
                <w:b/>
                <w:color w:val="FFFFFF"/>
                <w:sz w:val="19"/>
              </w:rPr>
              <w:t>Attacks detected</w:t>
            </w:r>
          </w:p>
        </w:tc>
        <w:tc>
          <w:tcPr>
            <w:tcW w:w="1728" w:type="dxa"/>
            <w:shd w:val="clear" w:color="auto" w:fill="0B1F3A"/>
          </w:tcPr>
          <w:p w14:paraId="6B23390C" w14:textId="77777777" w:rsidR="00364F09" w:rsidRDefault="00000000">
            <w:pPr>
              <w:spacing w:before="40" w:after="40"/>
            </w:pPr>
            <w:r>
              <w:rPr>
                <w:b/>
                <w:color w:val="FFFFFF"/>
                <w:sz w:val="19"/>
              </w:rPr>
              <w:t>False-positive rate</w:t>
            </w:r>
          </w:p>
        </w:tc>
        <w:tc>
          <w:tcPr>
            <w:tcW w:w="4032" w:type="dxa"/>
            <w:shd w:val="clear" w:color="auto" w:fill="0B1F3A"/>
          </w:tcPr>
          <w:p w14:paraId="41507426" w14:textId="77777777" w:rsidR="00364F09" w:rsidRDefault="00000000">
            <w:pPr>
              <w:spacing w:before="40" w:after="40"/>
            </w:pPr>
            <w:r>
              <w:rPr>
                <w:b/>
                <w:color w:val="FFFFFF"/>
                <w:sz w:val="19"/>
              </w:rPr>
              <w:t>What the analyst gets</w:t>
            </w:r>
          </w:p>
        </w:tc>
      </w:tr>
      <w:tr w:rsidR="00364F09" w14:paraId="6488BD8D" w14:textId="77777777">
        <w:trPr>
          <w:jc w:val="center"/>
        </w:trPr>
        <w:tc>
          <w:tcPr>
            <w:tcW w:w="2448" w:type="dxa"/>
            <w:shd w:val="clear" w:color="auto" w:fill="F4F6F8"/>
          </w:tcPr>
          <w:p w14:paraId="6CE58C81" w14:textId="77777777" w:rsidR="00364F09" w:rsidRDefault="00000000">
            <w:pPr>
              <w:spacing w:before="40" w:after="40"/>
            </w:pPr>
            <w:r>
              <w:rPr>
                <w:b/>
                <w:sz w:val="19"/>
              </w:rPr>
              <w:t>Local Outlier Factor</w:t>
            </w:r>
          </w:p>
        </w:tc>
        <w:tc>
          <w:tcPr>
            <w:tcW w:w="1728" w:type="dxa"/>
          </w:tcPr>
          <w:p w14:paraId="3D4C2F1E" w14:textId="77777777" w:rsidR="00364F09" w:rsidRDefault="00000000">
            <w:pPr>
              <w:spacing w:before="40" w:after="40"/>
            </w:pPr>
            <w:r>
              <w:rPr>
                <w:sz w:val="19"/>
              </w:rPr>
              <w:t>0 of 4</w:t>
            </w:r>
          </w:p>
        </w:tc>
        <w:tc>
          <w:tcPr>
            <w:tcW w:w="1728" w:type="dxa"/>
          </w:tcPr>
          <w:p w14:paraId="2EB86E49" w14:textId="77777777" w:rsidR="00364F09" w:rsidRDefault="00000000">
            <w:pPr>
              <w:spacing w:before="40" w:after="40"/>
            </w:pPr>
            <w:r>
              <w:rPr>
                <w:sz w:val="19"/>
              </w:rPr>
              <w:t>4.5%</w:t>
            </w:r>
          </w:p>
        </w:tc>
        <w:tc>
          <w:tcPr>
            <w:tcW w:w="4032" w:type="dxa"/>
          </w:tcPr>
          <w:p w14:paraId="746BBEEF" w14:textId="77777777" w:rsidR="00364F09" w:rsidRDefault="00000000">
            <w:pPr>
              <w:spacing w:before="40" w:after="40"/>
            </w:pPr>
            <w:r>
              <w:rPr>
                <w:sz w:val="19"/>
              </w:rPr>
              <w:t>Low false positives — and zero detections. All four campaigns sit inside its normal range.</w:t>
            </w:r>
          </w:p>
        </w:tc>
      </w:tr>
      <w:tr w:rsidR="00364F09" w14:paraId="3A8625AA" w14:textId="77777777">
        <w:trPr>
          <w:jc w:val="center"/>
        </w:trPr>
        <w:tc>
          <w:tcPr>
            <w:tcW w:w="2448" w:type="dxa"/>
            <w:shd w:val="clear" w:color="auto" w:fill="F4F6F8"/>
          </w:tcPr>
          <w:p w14:paraId="6CDCA542" w14:textId="77777777" w:rsidR="00364F09" w:rsidRDefault="00000000">
            <w:pPr>
              <w:spacing w:before="40" w:after="40"/>
            </w:pPr>
            <w:r>
              <w:rPr>
                <w:b/>
                <w:sz w:val="19"/>
              </w:rPr>
              <w:lastRenderedPageBreak/>
              <w:t>Z-Score</w:t>
            </w:r>
          </w:p>
        </w:tc>
        <w:tc>
          <w:tcPr>
            <w:tcW w:w="1728" w:type="dxa"/>
          </w:tcPr>
          <w:p w14:paraId="67BCC96A" w14:textId="77777777" w:rsidR="00364F09" w:rsidRDefault="00000000">
            <w:pPr>
              <w:spacing w:before="40" w:after="40"/>
            </w:pPr>
            <w:r>
              <w:rPr>
                <w:sz w:val="19"/>
              </w:rPr>
              <w:t>1 of 4</w:t>
            </w:r>
          </w:p>
        </w:tc>
        <w:tc>
          <w:tcPr>
            <w:tcW w:w="1728" w:type="dxa"/>
          </w:tcPr>
          <w:p w14:paraId="5087CBB0" w14:textId="77777777" w:rsidR="00364F09" w:rsidRDefault="00000000">
            <w:pPr>
              <w:spacing w:before="40" w:after="40"/>
            </w:pPr>
            <w:r>
              <w:rPr>
                <w:sz w:val="19"/>
              </w:rPr>
              <w:t>9.8%</w:t>
            </w:r>
          </w:p>
        </w:tc>
        <w:tc>
          <w:tcPr>
            <w:tcW w:w="4032" w:type="dxa"/>
          </w:tcPr>
          <w:p w14:paraId="049DF329" w14:textId="77777777" w:rsidR="00364F09" w:rsidRDefault="00000000">
            <w:pPr>
              <w:spacing w:before="40" w:after="40"/>
            </w:pPr>
            <w:r>
              <w:rPr>
                <w:sz w:val="19"/>
              </w:rPr>
              <w:t>Catches only the Volt Typhoon spike (z = 3.04, barely over the 3.0 line). The other three never cross it — Salt Typhoon peaks at z = 1.71.</w:t>
            </w:r>
          </w:p>
        </w:tc>
      </w:tr>
      <w:tr w:rsidR="00364F09" w14:paraId="3DB0B818" w14:textId="77777777">
        <w:trPr>
          <w:jc w:val="center"/>
        </w:trPr>
        <w:tc>
          <w:tcPr>
            <w:tcW w:w="2448" w:type="dxa"/>
            <w:shd w:val="clear" w:color="auto" w:fill="F4F6F8"/>
          </w:tcPr>
          <w:p w14:paraId="475FC652" w14:textId="77777777" w:rsidR="00364F09" w:rsidRDefault="00000000">
            <w:pPr>
              <w:spacing w:before="40" w:after="40"/>
            </w:pPr>
            <w:r>
              <w:rPr>
                <w:b/>
                <w:sz w:val="19"/>
              </w:rPr>
              <w:t>Isolation Forest</w:t>
            </w:r>
          </w:p>
        </w:tc>
        <w:tc>
          <w:tcPr>
            <w:tcW w:w="1728" w:type="dxa"/>
          </w:tcPr>
          <w:p w14:paraId="40481048" w14:textId="77777777" w:rsidR="00364F09" w:rsidRDefault="00000000">
            <w:pPr>
              <w:spacing w:before="40" w:after="40"/>
            </w:pPr>
            <w:r>
              <w:rPr>
                <w:sz w:val="19"/>
              </w:rPr>
              <w:t>0 of 4</w:t>
            </w:r>
          </w:p>
        </w:tc>
        <w:tc>
          <w:tcPr>
            <w:tcW w:w="1728" w:type="dxa"/>
          </w:tcPr>
          <w:p w14:paraId="27A5617D" w14:textId="77777777" w:rsidR="00364F09" w:rsidRDefault="00000000">
            <w:pPr>
              <w:spacing w:before="40" w:after="40"/>
            </w:pPr>
            <w:r>
              <w:rPr>
                <w:sz w:val="19"/>
              </w:rPr>
              <w:t>5.3%</w:t>
            </w:r>
          </w:p>
        </w:tc>
        <w:tc>
          <w:tcPr>
            <w:tcW w:w="4032" w:type="dxa"/>
          </w:tcPr>
          <w:p w14:paraId="0E99CF41" w14:textId="77777777" w:rsidR="00364F09" w:rsidRDefault="00000000">
            <w:pPr>
              <w:spacing w:before="40" w:after="40"/>
            </w:pPr>
            <w:r>
              <w:rPr>
                <w:sz w:val="19"/>
              </w:rPr>
              <w:t>All four attackers look statistically normal in feature space.</w:t>
            </w:r>
          </w:p>
        </w:tc>
      </w:tr>
      <w:tr w:rsidR="00364F09" w14:paraId="13AE8A52" w14:textId="77777777">
        <w:trPr>
          <w:jc w:val="center"/>
        </w:trPr>
        <w:tc>
          <w:tcPr>
            <w:tcW w:w="2448" w:type="dxa"/>
            <w:shd w:val="clear" w:color="auto" w:fill="F4F6F8"/>
          </w:tcPr>
          <w:p w14:paraId="3F93557F" w14:textId="77777777" w:rsidR="00364F09" w:rsidRDefault="00000000">
            <w:pPr>
              <w:spacing w:before="40" w:after="40"/>
            </w:pPr>
            <w:r>
              <w:rPr>
                <w:b/>
                <w:sz w:val="19"/>
              </w:rPr>
              <w:t>One-Class SVM</w:t>
            </w:r>
          </w:p>
        </w:tc>
        <w:tc>
          <w:tcPr>
            <w:tcW w:w="1728" w:type="dxa"/>
          </w:tcPr>
          <w:p w14:paraId="1243CEBE" w14:textId="77777777" w:rsidR="00364F09" w:rsidRDefault="00000000">
            <w:pPr>
              <w:spacing w:before="40" w:after="40"/>
            </w:pPr>
            <w:r>
              <w:rPr>
                <w:sz w:val="19"/>
              </w:rPr>
              <w:t>0 of 4</w:t>
            </w:r>
          </w:p>
        </w:tc>
        <w:tc>
          <w:tcPr>
            <w:tcW w:w="1728" w:type="dxa"/>
          </w:tcPr>
          <w:p w14:paraId="4E5F0E30" w14:textId="77777777" w:rsidR="00364F09" w:rsidRDefault="00000000">
            <w:pPr>
              <w:spacing w:before="40" w:after="40"/>
            </w:pPr>
            <w:r>
              <w:rPr>
                <w:sz w:val="19"/>
              </w:rPr>
              <w:t>14.6%</w:t>
            </w:r>
          </w:p>
        </w:tc>
        <w:tc>
          <w:tcPr>
            <w:tcW w:w="4032" w:type="dxa"/>
          </w:tcPr>
          <w:p w14:paraId="2FB02600" w14:textId="77777777" w:rsidR="00364F09" w:rsidRDefault="00000000">
            <w:pPr>
              <w:spacing w:before="40" w:after="40"/>
            </w:pPr>
            <w:r>
              <w:rPr>
                <w:sz w:val="19"/>
              </w:rPr>
              <w:t>36 false positives and zero true detections.</w:t>
            </w:r>
          </w:p>
        </w:tc>
      </w:tr>
      <w:tr w:rsidR="00364F09" w14:paraId="170E41EA" w14:textId="77777777">
        <w:trPr>
          <w:jc w:val="center"/>
        </w:trPr>
        <w:tc>
          <w:tcPr>
            <w:tcW w:w="2448" w:type="dxa"/>
            <w:shd w:val="clear" w:color="auto" w:fill="F4F6F8"/>
          </w:tcPr>
          <w:p w14:paraId="29FD27BC" w14:textId="77777777" w:rsidR="00364F09" w:rsidRDefault="00000000">
            <w:pPr>
              <w:spacing w:before="40" w:after="40"/>
            </w:pPr>
            <w:r>
              <w:rPr>
                <w:b/>
                <w:sz w:val="19"/>
              </w:rPr>
              <w:t>V-Intelligence Composite</w:t>
            </w:r>
          </w:p>
        </w:tc>
        <w:tc>
          <w:tcPr>
            <w:tcW w:w="1728" w:type="dxa"/>
          </w:tcPr>
          <w:p w14:paraId="6FEA16C2" w14:textId="77777777" w:rsidR="00364F09" w:rsidRDefault="00000000">
            <w:pPr>
              <w:spacing w:before="40" w:after="40"/>
            </w:pPr>
            <w:r>
              <w:rPr>
                <w:sz w:val="19"/>
              </w:rPr>
              <w:t>4 of 4</w:t>
            </w:r>
          </w:p>
        </w:tc>
        <w:tc>
          <w:tcPr>
            <w:tcW w:w="1728" w:type="dxa"/>
          </w:tcPr>
          <w:p w14:paraId="02780AEA" w14:textId="77777777" w:rsidR="00364F09" w:rsidRDefault="00000000">
            <w:pPr>
              <w:spacing w:before="40" w:after="40"/>
            </w:pPr>
            <w:r>
              <w:rPr>
                <w:sz w:val="19"/>
              </w:rPr>
              <w:t>8.1%</w:t>
            </w:r>
          </w:p>
        </w:tc>
        <w:tc>
          <w:tcPr>
            <w:tcW w:w="4032" w:type="dxa"/>
          </w:tcPr>
          <w:p w14:paraId="52475ED7" w14:textId="77777777" w:rsidR="00364F09" w:rsidRDefault="00000000">
            <w:pPr>
              <w:spacing w:before="40" w:after="40"/>
            </w:pPr>
            <w:r>
              <w:rPr>
                <w:sz w:val="19"/>
              </w:rPr>
              <w:t>All four detected, each with zone-level explanation: which dimension drifted, toward what threat.</w:t>
            </w:r>
          </w:p>
        </w:tc>
      </w:tr>
    </w:tbl>
    <w:p w14:paraId="19037664" w14:textId="77777777" w:rsidR="00364F09" w:rsidRDefault="00364F09">
      <w:pPr>
        <w:spacing w:after="40"/>
      </w:pPr>
    </w:p>
    <w:p w14:paraId="34E19FA3" w14:textId="77777777" w:rsidR="00364F09" w:rsidRDefault="00000000">
      <w:r>
        <w:rPr>
          <w:b/>
        </w:rPr>
        <w:t>The value claim: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r>
        <w:rPr>
          <w:b/>
        </w:rPr>
      </w:r>
      <w:r w:rsidR="00DB25C5">
        <w:rPr>
          <w:rStyle w:val="CommentReference"/>
          <w:b/>
          <w:sz w:val="21"/>
          <w:szCs w:val="22"/>
        </w:rPr>
      </w:r>
      <w:r>
        <w:rPr>
          <w:b/>
        </w:rPr>
      </w:r>
      <w:r>
        <w:rPr>
          <w:b/>
        </w:rPr>
      </w:r>
      <w:r w:rsidR="00DB25C5">
        <w:rPr>
          <w:rStyle w:val="CommentReference"/>
          <w:sz w:val="21"/>
          <w:szCs w:val="22"/>
        </w:rPr>
      </w:r>
    </w:p>
    <w:p w14:paraId="4EB60ABA" w14:textId="77777777" w:rsidR="00364F09" w:rsidRDefault="00000000">
      <w:pPr>
        <w:spacing w:before="120" w:after="0"/>
        <w:jc w:val="center"/>
      </w:pPr>
      <w:r>
        <w:rPr>
          <w:noProof/>
        </w:rPr>
        <w:drawing>
          <wp:inline distT="0" distB="0" distL="0" distR="0" wp14:anchorId="309BE17D" wp14:editId="67264642">
            <wp:extent cx="5852160" cy="25080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scoreboard.png"/>
                    <pic:cNvPicPr/>
                  </pic:nvPicPr>
                  <pic:blipFill>
                    <a:blip r:embed="rId12"/>
                    <a:stretch>
                      <a:fillRect/>
                    </a:stretch>
                  </pic:blipFill>
                  <pic:spPr>
                    <a:xfrm>
                      <a:off x="0" y="0"/>
                      <a:ext cx="5852160" cy="2508069"/>
                    </a:xfrm>
                    <a:prstGeom prst="rect">
                      <a:avLst/>
                    </a:prstGeom>
                  </pic:spPr>
                </pic:pic>
              </a:graphicData>
            </a:graphic>
          </wp:inline>
        </w:drawing>
      </w:r>
    </w:p>
    <w:p w14:paraId="38C66B98" w14:textId="77777777" w:rsidR="00364F09" w:rsidRDefault="00000000">
      <w:pPr>
        <w:spacing w:after="160"/>
        <w:jc w:val="center"/>
      </w:pPr>
      <w:r>
        <w:rPr>
          <w:i/>
          <w:color w:val="555F6B"/>
          <w:sz w:val="17"/>
        </w:rPr>
        <w:t>Figure 3 — The detection scoreboard across 250 users with four embedded attack campaigns (synthetic dataset, verified against the evaluation run). Traditional methods catch at most 1 of 4; composite scoring catches 4 of 4 at 8.1% false positives, each detection explained.</w:t>
      </w:r>
      <w:r>
        <w:rPr>
          <w:i/>
          <w:color w:val="555F6B"/>
          <w:sz w:val="17"/>
        </w:rPr>
      </w:r>
      <w:r w:rsidR="00DB25C5">
        <w:rPr>
          <w:rStyle w:val="CommentReference"/>
          <w:i/>
          <w:color w:val="555F6B"/>
          <w:sz w:val="17"/>
          <w:szCs w:val="22"/>
        </w:rPr>
      </w:r>
      <w:r>
        <w:rPr>
          <w:i/>
          <w:color w:val="555F6B"/>
          <w:sz w:val="17"/>
        </w:rPr>
      </w:r>
    </w:p>
    <w:p w14:paraId="2F1A80E2" w14:textId="77777777" w:rsidR="00364F09" w:rsidRDefault="00000000">
      <w:pPr>
        <w:spacing w:before="160" w:after="60"/>
      </w:pPr>
      <w:r>
        <w:rPr>
          <w:b/>
          <w:color w:val="C25A12"/>
          <w:sz w:val="24"/>
        </w:rPr>
        <w:t>5.2  Four attacks, four different fingerprints</w:t>
      </w:r>
    </w:p>
    <w:p w14:paraId="26CF2FB3" w14:textId="77777777" w:rsidR="00364F09" w:rsidRDefault="00000000">
      <w:r>
        <w:t>Each campaign was caught by a different combination of the five phases — the empirical proof that no single method would have sufficed:</w:t>
      </w:r>
    </w:p>
    <w:p w14:paraId="7565B872" w14:textId="77777777" w:rsidR="00364F09" w:rsidRDefault="00000000">
      <w:pPr>
        <w:pStyle w:val="ListBullet"/>
        <w:spacing w:after="60"/>
      </w:pPr>
      <w:r>
        <w:rPr>
          <w:b/>
        </w:rPr>
        <w:t xml:space="preserve">Salt Typhoon telecom (rank #1): </w:t>
      </w:r>
      <w:r>
        <w:t>the strongest overall anomaly, ranked #1 of 250 (score 51.3). The attack touches sign-in, network, and domain-lookup behavior simultaneously — 18 measurements elevated at once.</w:t>
      </w:r>
    </w:p>
    <w:p w14:paraId="5A61E61F" w14:textId="77777777" w:rsidR="00364F09" w:rsidRDefault="00000000">
      <w:pPr>
        <w:pStyle w:val="ListBullet"/>
        <w:spacing w:after="60"/>
      </w:pPr>
      <w:r>
        <w:rPr>
          <w:b/>
        </w:rPr>
        <w:t xml:space="preserve">Insider threat (rank #2): </w:t>
      </w:r>
      <w:r>
        <w:t>ranked #2 (score 46.2), caught by sustained deviation and breadth: a 14-month drift from public toward restricted files while total volume stayed flat — the textbook "same credentials, different data" signature.</w:t>
      </w:r>
    </w:p>
    <w:p w14:paraId="78C62513" w14:textId="77777777" w:rsidR="00364F09" w:rsidRDefault="00000000">
      <w:pPr>
        <w:pStyle w:val="ListBullet"/>
        <w:spacing w:after="60"/>
      </w:pPr>
      <w:r>
        <w:rPr>
          <w:b/>
        </w:rPr>
        <w:t>Slow APT (rank #7): ranked #7 (score 19.4) — despite looking ordinary on every volume measure — the hardest case in the study, examined in Section 5.3.</w:t>
      </w:r>
      <w:r/>
      <w:r/>
      <w:r w:rsidR="00F4238C">
        <w:rPr>
          <w:rStyle w:val="CommentReference"/>
          <w:sz w:val="21"/>
          <w:szCs w:val="22"/>
        </w:rPr>
      </w:r>
      <w:r/>
    </w:p>
    <w:p w14:paraId="648946BB" w14:textId="77777777" w:rsidR="00364F09" w:rsidRDefault="00000000">
      <w:pPr>
        <w:pStyle w:val="ListBullet"/>
        <w:spacing w:after="60"/>
      </w:pPr>
      <w:r>
        <w:rPr>
          <w:b/>
        </w:rPr>
        <w:t xml:space="preserve">Volt Typhoon living-off-the-land (rank #24): </w:t>
      </w:r>
      <w:r>
        <w:t>ranked #24 of 250 (score 13.7) — a deliberately quiet campaign using only legitimate admin tools, so its signal is spread thin across many features at once rather than concentrated in one spike — caught by breadth, still inside the top 10% and above the detection threshold via breadth plus signal strength.</w:t>
      </w:r>
    </w:p>
    <w:p w14:paraId="016B654E" w14:textId="77777777" w:rsidR="00364F09" w:rsidRDefault="00000000">
      <w:pPr>
        <w:spacing w:before="120" w:after="0"/>
        <w:jc w:val="center"/>
      </w:pPr>
      <w:r>
        <w:rPr>
          <w:noProof/>
        </w:rPr>
        <w:lastRenderedPageBreak/>
        <w:drawing>
          <wp:inline distT="0" distB="0" distL="0" distR="0" wp14:anchorId="4262479D" wp14:editId="4F62329E">
            <wp:extent cx="4572000" cy="35922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adar.png"/>
                    <pic:cNvPicPr/>
                  </pic:nvPicPr>
                  <pic:blipFill>
                    <a:blip r:embed="rId13"/>
                    <a:stretch>
                      <a:fillRect/>
                    </a:stretch>
                  </pic:blipFill>
                  <pic:spPr>
                    <a:xfrm>
                      <a:off x="0" y="0"/>
                      <a:ext cx="4572000" cy="3592286"/>
                    </a:xfrm>
                    <a:prstGeom prst="rect">
                      <a:avLst/>
                    </a:prstGeom>
                  </pic:spPr>
                </pic:pic>
              </a:graphicData>
            </a:graphic>
          </wp:inline>
        </w:drawing>
      </w:r>
    </w:p>
    <w:p w14:paraId="101A0DFF" w14:textId="77777777" w:rsidR="00364F09" w:rsidRDefault="00000000">
      <w:pPr>
        <w:spacing w:after="160"/>
        <w:jc w:val="center"/>
      </w:pPr>
      <w:r>
        <w:rPr>
          <w:i/>
          <w:color w:val="555F6B"/>
          <w:sz w:val="17"/>
        </w:rPr>
        <w:t xml:space="preserve">Figure 4 — The drift projected onto the five scoring dimensions, as percentiles across the 250-user population (synthetic dataset). Normal users cluster near the center (grey dashed = median, dotted = 75th percentile). Each attacker breaks out on a different combination — the insider on signal strength and breadth, the slow APT on novelty persistence, </w:t>
      </w:r>
      <w:r>
        <w:rPr>
          <w:i/>
          <w:color w:val="555F6B"/>
          <w:sz w:val="17"/>
        </w:rPr>
        <w:t>Salt Typhoon on nearly every dimension at once</w:t>
      </w:r>
      <w:r>
        <w:rPr>
          <w:i/>
          <w:color w:val="555F6B"/>
          <w:sz w:val="17"/>
        </w:rPr>
        <w:t>. No normal user reaches these extremes on several dimensions simultaneously.</w:t>
      </w:r>
    </w:p>
    <w:p w14:paraId="5297AD01" w14:textId="77777777" w:rsidR="00364F09" w:rsidRDefault="00000000">
      <w:pPr>
        <w:spacing w:before="160" w:after="60"/>
      </w:pPr>
      <w:r>
        <w:rPr>
          <w:b/>
          <w:color w:val="C25A12"/>
          <w:sz w:val="24"/>
        </w:rPr>
        <w:t>5.3  Case study: the attack that was "undetectable"</w:t>
      </w:r>
    </w:p>
    <w:p w14:paraId="1FD4DBA4" w14:textId="77777777" w:rsidR="00364F09" w:rsidRDefault="00000000">
      <w: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14:paraId="43FADD66" w14:textId="77777777" w:rsidR="00364F09" w:rsidRDefault="00000000">
      <w:r>
        <w:t xml:space="preserve">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w:t>
      </w:r>
      <w:r>
        <w:t xml:space="preserve">13.0 points </w:t>
      </w:r>
      <w:r>
        <w:t>— the largest phase contribution of any attacker — lifting USR-234 from rank ~#105 to rank #7, firmly inside the detected set.</w:t>
      </w:r>
    </w:p>
    <w:p w14:paraId="0A0C5C16" w14:textId="77777777" w:rsidR="00364F09" w:rsidRDefault="00000000">
      <w:pPr>
        <w:spacing w:before="120" w:after="0"/>
        <w:jc w:val="center"/>
      </w:pPr>
      <w:r>
        <w:rPr>
          <w:noProof/>
        </w:rPr>
        <w:lastRenderedPageBreak/>
        <w:drawing>
          <wp:inline distT="0" distB="0" distL="0" distR="0" wp14:anchorId="053CB669" wp14:editId="052E99EA">
            <wp:extent cx="5852160" cy="2758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composite.png"/>
                    <pic:cNvPicPr/>
                  </pic:nvPicPr>
                  <pic:blipFill>
                    <a:blip r:embed="rId14"/>
                    <a:stretch>
                      <a:fillRect/>
                    </a:stretch>
                  </pic:blipFill>
                  <pic:spPr>
                    <a:xfrm>
                      <a:off x="0" y="0"/>
                      <a:ext cx="5852160" cy="2758875"/>
                    </a:xfrm>
                    <a:prstGeom prst="rect">
                      <a:avLst/>
                    </a:prstGeom>
                  </pic:spPr>
                </pic:pic>
              </a:graphicData>
            </a:graphic>
          </wp:inline>
        </w:drawing>
      </w:r>
    </w:p>
    <w:p w14:paraId="17357D27" w14:textId="77777777" w:rsidR="00364F09" w:rsidRDefault="00000000">
      <w:pPr>
        <w:spacing w:after="160"/>
        <w:jc w:val="center"/>
      </w:pPr>
      <w:r>
        <w:rPr>
          <w:i/>
          <w:color w:val="555F6B"/>
          <w:sz w:val="17"/>
        </w:rPr>
        <w:t>Figure 5 — Composite scores of the four attack users against the detection threshold (synthetic dataset). The slow APT (USR-234) splits into its parts: without the novelty signal it scores 6.4 and is missed; the recurring never-before-seen contact adds 13.0 points and detects it.</w:t>
      </w:r>
    </w:p>
    <w:p w14:paraId="7A0F0DBE" w14:textId="77777777" w:rsidR="00364F09" w:rsidRDefault="00000000">
      <w:pPr>
        <w:spacing w:before="160" w:after="60"/>
      </w:pPr>
      <w:r>
        <w:rPr>
          <w:b/>
          <w:color w:val="C25A12"/>
          <w:sz w:val="24"/>
        </w:rPr>
        <w:t>5.4  False positives, treated as a budget</w:t>
      </w:r>
    </w:p>
    <w:p w14:paraId="2E8F244A" w14:textId="77777777" w:rsidR="00364F09" w:rsidRDefault="00000000">
      <w:r>
        <w:t xml:space="preserve">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w:t>
      </w:r>
      <w:r>
        <w:t>ranks #24 and #1</w:t>
      </w:r>
      <w:r>
        <w:t>.</w:t>
      </w:r>
    </w:p>
    <w:p w14:paraId="447004DF" w14:textId="77777777" w:rsidR="00364F09" w:rsidRDefault="00000000">
      <w:pPr>
        <w:spacing w:before="280" w:after="80"/>
      </w:pPr>
      <w:r>
        <w:rPr>
          <w:b/>
          <w:color w:val="0B1F3A"/>
          <w:sz w:val="30"/>
        </w:rPr>
        <w:t>6.  Deployment in Practice</w:t>
      </w:r>
    </w:p>
    <w:p w14:paraId="1877BE9F" w14:textId="77777777" w:rsidR="00364F09" w:rsidRDefault="00000000">
      <w: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14:paraId="44D8AAE9" w14:textId="77777777" w:rsidR="00364F09" w:rsidRDefault="00000000">
      <w:pPr>
        <w:pStyle w:val="ListBullet"/>
        <w:spacing w:after="60"/>
      </w:pPr>
      <w:r>
        <w:rPr>
          <w:b/>
        </w:rPr>
        <w:t xml:space="preserve">Data requirements. </w:t>
      </w:r>
      <w:r>
        <w:t>Five standard log sources most enterprises already collect — sign-ins, file access, endpoint telemetry, network flow, and domain lookups — plus data-sensitivity labels. No new sensors.</w:t>
      </w:r>
    </w:p>
    <w:p w14:paraId="47217B9E" w14:textId="77777777" w:rsidR="00364F09" w:rsidRDefault="00000000">
      <w:pPr>
        <w:pStyle w:val="ListBullet"/>
        <w:spacing w:after="60"/>
      </w:pPr>
      <w:r>
        <w:rPr>
          <w:b/>
        </w:rPr>
        <w:t xml:space="preserve">Timeline. </w:t>
      </w:r>
      <w:r>
        <w:t>A phased rollout: 4–6 weeks of baseline building, 2–4 weeks of detection tuning (target: false positives under 10%), 2–4 weeks of red-team validation, then production.</w:t>
      </w:r>
    </w:p>
    <w:p w14:paraId="6A904778" w14:textId="77777777" w:rsidR="00364F09" w:rsidRDefault="00000000">
      <w:pPr>
        <w:pStyle w:val="ListBullet"/>
        <w:spacing w:after="60"/>
      </w:pPr>
      <w:r>
        <w:rPr>
          <w:b/>
        </w:rPr>
        <w:t xml:space="preserve">Footprint. </w:t>
      </w:r>
      <w:r>
        <w:t>Containerized, standard infrastructure, no specialized hardware; suitable for enterprise data centers, cloud, or air-gapped secure environments. Behavioral profiles are computed incrementally, so ongoing cost after the initial baseline is small.</w:t>
      </w:r>
    </w:p>
    <w:p w14:paraId="3C12B616" w14:textId="77777777" w:rsidR="00364F09" w:rsidRDefault="00000000">
      <w:pPr>
        <w:pStyle w:val="ListBullet"/>
        <w:spacing w:after="60"/>
      </w:pPr>
      <w:r>
        <w:rPr>
          <w:b/>
        </w:rPr>
        <w:t xml:space="preserve">Integration. </w:t>
      </w:r>
      <w: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14:paraId="34E04E9F" w14:textId="77777777" w:rsidR="00364F09" w:rsidRDefault="00000000">
      <w:pPr>
        <w:pStyle w:val="ListBullet"/>
        <w:spacing w:after="60"/>
      </w:pPr>
      <w:r>
        <w:rPr>
          <w:b/>
        </w:rPr>
        <w:t xml:space="preserve">Scale. </w:t>
      </w:r>
      <w:r>
        <w:t>Validation used 250 users; larger populations improve, not degrade, the statistics, because peer baselines get richer.</w:t>
      </w:r>
    </w:p>
    <w:p w14:paraId="1C35016E" w14:textId="77777777" w:rsidR="00364F09" w:rsidRDefault="00000000">
      <w:pPr>
        <w:spacing w:before="280" w:after="80"/>
      </w:pPr>
      <w:r>
        <w:rPr>
          <w:b/>
          <w:color w:val="0B1F3A"/>
          <w:sz w:val="30"/>
        </w:rPr>
        <w:t>7.  Why This Is New</w:t>
      </w:r>
    </w:p>
    <w:p w14:paraId="3884A05E" w14:textId="77777777" w:rsidR="00364F09" w:rsidRDefault="00000000">
      <w:r>
        <w:lastRenderedPageBreak/>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14:paraId="530913F5" w14:textId="77777777" w:rsidR="00364F09" w:rsidRDefault="00000000">
      <w:r>
        <w:rPr>
          <w:b/>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14:paraId="1E4F87BB" w14:textId="77777777" w:rsidR="00364F09" w:rsidRDefault="00000000">
      <w:r>
        <w:rPr>
          <w:i/>
          <w:color w:val="555F6B"/>
          <w:sz w:val="19"/>
        </w:rPr>
        <w:t>Scoping notes: vendor internals are not fully public (the comparison is against marketed capability), and a formal freedom-to-operate review is recommended before any contractual assertion of uniqueness.</w:t>
      </w:r>
    </w:p>
    <w:p w14:paraId="6C16CFB9" w14:textId="77777777" w:rsidR="00364F09" w:rsidRDefault="00000000">
      <w:pPr>
        <w:spacing w:before="280" w:after="80"/>
      </w:pPr>
      <w:r>
        <w:rPr>
          <w:b/>
          <w:color w:val="0B1F3A"/>
          <w:sz w:val="30"/>
        </w:rPr>
        <w:t>8.  Limitations</w:t>
      </w:r>
      <w:r>
        <w:rPr>
          <w:b/>
          <w:color w:val="0B1F3A"/>
          <w:sz w:val="30"/>
        </w:rPr>
      </w:r>
      <w:r w:rsidR="00F4238C">
        <w:rPr>
          <w:rStyle w:val="CommentReference"/>
          <w:sz w:val="21"/>
          <w:szCs w:val="22"/>
        </w:rPr>
      </w:r>
    </w:p>
    <w:p w14:paraId="422BCE4A" w14:textId="77777777" w:rsidR="00364F09" w:rsidRDefault="00000000">
      <w:pPr>
        <w:pStyle w:val="ListBullet"/>
        <w:spacing w:after="60"/>
      </w:pPr>
      <w:r>
        <w:t>All results are from synthetic telemetry. The attack campaigns are carefully calibrated to public CISA (Cybersecurity and Infrastructure Security Agency) advisories, but real enterprise behavior is messier; every figure must be re-measured on real data.</w:t>
      </w:r>
    </w:p>
    <w:p w14:paraId="2595BDE2" w14:textId="77777777" w:rsidR="00364F09" w:rsidRDefault="00000000">
      <w:pPr>
        <w:pStyle w:val="ListBullet"/>
        <w:spacing w:after="60"/>
      </w:pPr>
      <w:r>
        <w:t>The detection threshold reported here is the operating point that catches all four attackers; it was chosen with knowledge of the answers. In production the threshold must be set blind and tuned per environment.</w:t>
      </w:r>
    </w:p>
    <w:p w14:paraId="7CA24823" w14:textId="77777777" w:rsidR="00364F09" w:rsidRDefault="00000000">
      <w:pPr>
        <w:pStyle w:val="ListBullet"/>
        <w:spacing w:after="60"/>
      </w:pPr>
      <w:r>
        <w:t>An 8.1% false-positive rate means 20 flagged normal users per 250; acceptable as a ranked triage queue, but it is a real analyst cost — and it is not an auto-blocking threshold.</w:t>
      </w:r>
    </w:p>
    <w:p w14:paraId="78B65A07" w14:textId="77777777" w:rsidR="00364F09" w:rsidRDefault="00000000">
      <w:pPr>
        <w:pStyle w:val="ListBullet"/>
        <w:spacing w:after="60"/>
      </w:pPr>
      <w:r>
        <w:t>Baselines need 4–6 weeks of history before detection is meaningful, and legitimate behavioral shifts — role changes, project transitions — are the main source of false flags.</w:t>
      </w:r>
    </w:p>
    <w:p w14:paraId="06A8AD5E" w14:textId="77777777" w:rsidR="00364F09" w:rsidRDefault="00000000">
      <w:pPr>
        <w:pStyle w:val="ListBullet"/>
        <w:spacing w:after="60"/>
      </w:pPr>
      <w:r>
        <w:t>Data-sensitivity labels on file activity materially strengthen the insider signature; environments without classification metadata lose part of that signal.</w:t>
      </w:r>
    </w:p>
    <w:p w14:paraId="100F9524" w14:textId="77777777" w:rsidR="00364F09" w:rsidRDefault="00000000">
      <w:pPr>
        <w:pStyle w:val="ListBullet"/>
        <w:spacing w:after="60"/>
      </w:pPr>
      <w:r>
        <w:t>Semantic embeddings rely on an embedding model; air-gapped deployments require a locally hosted replacement, which must be re-validated.</w:t>
      </w:r>
      <w:r/>
      <w:r w:rsidR="00F4238C">
        <w:rPr>
          <w:rStyle w:val="CommentReference"/>
          <w:sz w:val="21"/>
          <w:szCs w:val="22"/>
        </w:rPr>
      </w:r>
      <w:r/>
    </w:p>
    <w:p w14:paraId="40D93D13" w14:textId="77777777" w:rsidR="00364F09" w:rsidRDefault="00000000">
      <w:pPr>
        <w:spacing w:before="280" w:after="80"/>
      </w:pPr>
      <w:r>
        <w:rPr>
          <w:b/>
          <w:color w:val="0B1F3A"/>
          <w:sz w:val="30"/>
        </w:rPr>
        <w:t>9.  Conclusion</w:t>
      </w:r>
    </w:p>
    <w:p w14:paraId="6908E82D" w14:textId="77777777" w:rsidR="00364F09" w:rsidRDefault="00000000">
      <w: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 — long after the adversaries had mapped infrastructure, harvested credentials, and pre-positioned for disruption.</w:t>
      </w:r>
      <w:r/>
      <w:r w:rsidR="00F4238C">
        <w:rPr>
          <w:rStyle w:val="CommentReference"/>
          <w:sz w:val="21"/>
          <w:szCs w:val="22"/>
        </w:rPr>
      </w:r>
      <w:r/>
    </w:p>
    <w:p w14:paraId="15C0043B" w14:textId="77777777" w:rsidR="00364F09" w:rsidRDefault="00000000">
      <w: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14:paraId="026F04E8" w14:textId="77777777" w:rsidR="00364F09" w:rsidRDefault="00000000">
      <w:r>
        <w:rPr>
          <w:b/>
        </w:rPr>
        <w:t>The insider changes which data they access, not how much. The APT changes where it communicates, not how often. Traditional tools measure magnitude; V-Intelligence UEBA measures direction — and direction is where these attacks live.</w:t>
      </w:r>
    </w:p>
    <w:p w14:paraId="781BF7F8" w14:textId="77777777" w:rsidR="00364F09" w:rsidRDefault="00000000">
      <w:pPr>
        <w:spacing w:before="280" w:after="80"/>
      </w:pPr>
      <w:r>
        <w:rPr>
          <w:b/>
          <w:color w:val="0B1F3A"/>
          <w:sz w:val="30"/>
        </w:rPr>
        <w:lastRenderedPageBreak/>
        <w:t>Appendix — Glossary</w:t>
      </w:r>
    </w:p>
    <w:tbl>
      <w:tblPr>
        <w:tblStyle w:val="TableGrid"/>
        <w:tblW w:w="0" w:type="auto"/>
        <w:tblLook w:val="04A0" w:firstRow="1" w:lastRow="0" w:firstColumn="1" w:lastColumn="0" w:noHBand="0" w:noVBand="1"/>
      </w:tblPr>
      <w:tblGrid>
        <w:gridCol w:w="2702"/>
        <w:gridCol w:w="7080"/>
      </w:tblGrid>
      <w:tr w:rsidR="00364F09" w14:paraId="04D7EFBE" w14:textId="77777777">
        <w:tc>
          <w:tcPr>
            <w:tcW w:w="2736" w:type="dxa"/>
            <w:shd w:val="clear" w:color="auto" w:fill="0B1F3A"/>
          </w:tcPr>
          <w:p w14:paraId="6404CE12" w14:textId="77777777" w:rsidR="00364F09" w:rsidRDefault="00000000">
            <w:pPr>
              <w:spacing w:before="40" w:after="40"/>
            </w:pPr>
            <w:r>
              <w:rPr>
                <w:b/>
                <w:color w:val="FFFFFF"/>
                <w:sz w:val="19"/>
              </w:rPr>
              <w:t>Term</w:t>
            </w:r>
          </w:p>
        </w:tc>
        <w:tc>
          <w:tcPr>
            <w:tcW w:w="7200" w:type="dxa"/>
            <w:shd w:val="clear" w:color="auto" w:fill="0B1F3A"/>
          </w:tcPr>
          <w:p w14:paraId="27626561" w14:textId="77777777" w:rsidR="00364F09" w:rsidRDefault="00000000">
            <w:pPr>
              <w:spacing w:before="40" w:after="40"/>
            </w:pPr>
            <w:r>
              <w:rPr>
                <w:b/>
                <w:color w:val="FFFFFF"/>
                <w:sz w:val="19"/>
              </w:rPr>
              <w:t>Meaning</w:t>
            </w:r>
          </w:p>
        </w:tc>
      </w:tr>
      <w:tr w:rsidR="00364F09" w14:paraId="7AFD4DA5" w14:textId="77777777">
        <w:tc>
          <w:tcPr>
            <w:tcW w:w="2736" w:type="dxa"/>
            <w:shd w:val="clear" w:color="auto" w:fill="F4F6F8"/>
          </w:tcPr>
          <w:p w14:paraId="6B14F3A9" w14:textId="77777777" w:rsidR="00364F09" w:rsidRDefault="00000000">
            <w:pPr>
              <w:spacing w:before="40" w:after="40"/>
            </w:pPr>
            <w:r>
              <w:rPr>
                <w:b/>
                <w:color w:val="0B1F3A"/>
                <w:sz w:val="18"/>
              </w:rPr>
              <w:t>UEBA</w:t>
            </w:r>
          </w:p>
        </w:tc>
        <w:tc>
          <w:tcPr>
            <w:tcW w:w="7200" w:type="dxa"/>
          </w:tcPr>
          <w:p w14:paraId="1DD4779C" w14:textId="77777777" w:rsidR="00364F09" w:rsidRDefault="00000000">
            <w:pPr>
              <w:spacing w:before="40" w:after="40"/>
            </w:pPr>
            <w:r>
              <w:rPr>
                <w:sz w:val="18"/>
              </w:rPr>
              <w:t>User and Entity Behavior Analytics — detecting threats by learning each entity's normal behavior and flagging departures, rather than matching known-bad patterns.</w:t>
            </w:r>
          </w:p>
        </w:tc>
      </w:tr>
      <w:tr w:rsidR="00364F09" w14:paraId="65513349" w14:textId="77777777">
        <w:tc>
          <w:tcPr>
            <w:tcW w:w="2736" w:type="dxa"/>
            <w:shd w:val="clear" w:color="auto" w:fill="F4F6F8"/>
          </w:tcPr>
          <w:p w14:paraId="6298B910" w14:textId="77777777" w:rsidR="00364F09" w:rsidRDefault="00000000">
            <w:pPr>
              <w:spacing w:before="40" w:after="40"/>
            </w:pPr>
            <w:r>
              <w:rPr>
                <w:b/>
                <w:color w:val="0B1F3A"/>
                <w:sz w:val="18"/>
              </w:rPr>
              <w:t>Digital entity</w:t>
            </w:r>
          </w:p>
        </w:tc>
        <w:tc>
          <w:tcPr>
            <w:tcW w:w="7200" w:type="dxa"/>
          </w:tcPr>
          <w:p w14:paraId="180079E6" w14:textId="77777777" w:rsidR="00364F09" w:rsidRDefault="00000000">
            <w:pPr>
              <w:spacing w:before="40" w:after="40"/>
            </w:pPr>
            <w:r>
              <w:rPr>
                <w:sz w:val="18"/>
              </w:rPr>
              <w:t>A living software profile of a user or system — like a patient's medical chart for behavior: history, vitals, context, and trend, updated weekly.</w:t>
            </w:r>
          </w:p>
        </w:tc>
      </w:tr>
      <w:tr w:rsidR="00364F09" w14:paraId="47FD9FDE" w14:textId="77777777">
        <w:tc>
          <w:tcPr>
            <w:tcW w:w="2736" w:type="dxa"/>
            <w:shd w:val="clear" w:color="auto" w:fill="F4F6F8"/>
          </w:tcPr>
          <w:p w14:paraId="77296357" w14:textId="77777777" w:rsidR="00364F09" w:rsidRDefault="00000000">
            <w:pPr>
              <w:spacing w:before="40" w:after="40"/>
            </w:pPr>
            <w:r>
              <w:rPr>
                <w:b/>
                <w:color w:val="0B1F3A"/>
                <w:sz w:val="18"/>
              </w:rPr>
              <w:t>Semantic space / embedding</w:t>
            </w:r>
          </w:p>
        </w:tc>
        <w:tc>
          <w:tcPr>
            <w:tcW w:w="7200" w:type="dxa"/>
          </w:tcPr>
          <w:p w14:paraId="09D4E90F" w14:textId="77777777" w:rsidR="00364F09" w:rsidRDefault="00000000">
            <w:pPr>
              <w:spacing w:before="40" w:after="40"/>
            </w:pPr>
            <w:r>
              <w:rPr>
                <w:sz w:val="18"/>
              </w:rPr>
              <w:t>A numerical "map of meaning" produced by the same representation that powers large language models; behaviors that mean similar things sit near each other.</w:t>
            </w:r>
          </w:p>
        </w:tc>
      </w:tr>
      <w:tr w:rsidR="00364F09" w14:paraId="0EC290BA" w14:textId="77777777">
        <w:tc>
          <w:tcPr>
            <w:tcW w:w="2736" w:type="dxa"/>
            <w:shd w:val="clear" w:color="auto" w:fill="F4F6F8"/>
          </w:tcPr>
          <w:p w14:paraId="67EAE30F" w14:textId="77777777" w:rsidR="00364F09" w:rsidRDefault="00000000">
            <w:pPr>
              <w:spacing w:before="40" w:after="40"/>
            </w:pPr>
            <w:r>
              <w:rPr>
                <w:b/>
                <w:color w:val="0B1F3A"/>
                <w:sz w:val="18"/>
              </w:rPr>
              <w:t>Behavioral zone</w:t>
            </w:r>
          </w:p>
        </w:tc>
        <w:tc>
          <w:tcPr>
            <w:tcW w:w="7200" w:type="dxa"/>
          </w:tcPr>
          <w:p w14:paraId="3915A75E" w14:textId="77777777" w:rsidR="00364F09" w:rsidRDefault="00000000">
            <w:pPr>
              <w:spacing w:before="40" w:after="40"/>
            </w:pPr>
            <w:r>
              <w:rPr>
                <w:sz w:val="18"/>
              </w:rPr>
              <w:t>One of five dimensions of an entity's profile: identity, access pattern, data behavior, network footprint, risk posture.</w:t>
            </w:r>
          </w:p>
        </w:tc>
      </w:tr>
      <w:tr w:rsidR="00364F09" w14:paraId="7FBFFEC2" w14:textId="77777777">
        <w:tc>
          <w:tcPr>
            <w:tcW w:w="2736" w:type="dxa"/>
            <w:shd w:val="clear" w:color="auto" w:fill="F4F6F8"/>
          </w:tcPr>
          <w:p w14:paraId="5936DF4C" w14:textId="77777777" w:rsidR="00364F09" w:rsidRDefault="00000000">
            <w:pPr>
              <w:spacing w:before="40" w:after="40"/>
            </w:pPr>
            <w:r>
              <w:rPr>
                <w:b/>
                <w:color w:val="0B1F3A"/>
                <w:sz w:val="18"/>
              </w:rPr>
              <w:t>Drift</w:t>
            </w:r>
          </w:p>
        </w:tc>
        <w:tc>
          <w:tcPr>
            <w:tcW w:w="7200" w:type="dxa"/>
          </w:tcPr>
          <w:p w14:paraId="29215B80" w14:textId="77777777" w:rsidR="00364F09" w:rsidRDefault="00000000">
            <w:pPr>
              <w:spacing w:before="40" w:after="40"/>
            </w:pPr>
            <w:r>
              <w:rPr>
                <w:sz w:val="18"/>
              </w:rPr>
              <w:t>The movement of an entity's behavioral profile over time — how fast, how consistently, and in which direction it is trending.</w:t>
            </w:r>
          </w:p>
        </w:tc>
      </w:tr>
      <w:tr w:rsidR="00364F09" w14:paraId="7E17E5CA" w14:textId="77777777">
        <w:tc>
          <w:tcPr>
            <w:tcW w:w="2736" w:type="dxa"/>
            <w:shd w:val="clear" w:color="auto" w:fill="F4F6F8"/>
          </w:tcPr>
          <w:p w14:paraId="039D60B3" w14:textId="77777777" w:rsidR="00364F09" w:rsidRDefault="00000000">
            <w:pPr>
              <w:spacing w:before="40" w:after="40"/>
            </w:pPr>
            <w:r>
              <w:rPr>
                <w:b/>
                <w:color w:val="0B1F3A"/>
                <w:sz w:val="18"/>
              </w:rPr>
              <w:t>SIEM</w:t>
            </w:r>
          </w:p>
        </w:tc>
        <w:tc>
          <w:tcPr>
            <w:tcW w:w="7200" w:type="dxa"/>
          </w:tcPr>
          <w:p w14:paraId="47936F0B" w14:textId="77777777" w:rsidR="00364F09" w:rsidRDefault="00000000">
            <w:pPr>
              <w:spacing w:before="40" w:after="40"/>
            </w:pPr>
            <w:r>
              <w:rPr>
                <w:sz w:val="18"/>
              </w:rPr>
              <w:t>Security Information and Event Management — the central log-collection and rule-correlation platform of enterprise security.</w:t>
            </w:r>
          </w:p>
        </w:tc>
      </w:tr>
      <w:tr w:rsidR="00364F09" w14:paraId="7A2BAD06" w14:textId="77777777">
        <w:tc>
          <w:tcPr>
            <w:tcW w:w="2736" w:type="dxa"/>
            <w:shd w:val="clear" w:color="auto" w:fill="F4F6F8"/>
          </w:tcPr>
          <w:p w14:paraId="75D76CB1" w14:textId="77777777" w:rsidR="00364F09" w:rsidRDefault="00000000">
            <w:pPr>
              <w:spacing w:before="40" w:after="40"/>
            </w:pPr>
            <w:r>
              <w:rPr>
                <w:b/>
                <w:color w:val="0B1F3A"/>
                <w:sz w:val="18"/>
              </w:rPr>
              <w:t>SOC</w:t>
            </w:r>
          </w:p>
        </w:tc>
        <w:tc>
          <w:tcPr>
            <w:tcW w:w="7200" w:type="dxa"/>
          </w:tcPr>
          <w:p w14:paraId="6471BB4F" w14:textId="77777777" w:rsidR="00364F09" w:rsidRDefault="00000000">
            <w:pPr>
              <w:spacing w:before="40" w:after="40"/>
            </w:pPr>
            <w:r>
              <w:rPr>
                <w:sz w:val="18"/>
              </w:rPr>
              <w:t>Security Operations Center — the analyst team that monitors alerts and investigates incidents.</w:t>
            </w:r>
          </w:p>
        </w:tc>
      </w:tr>
      <w:tr w:rsidR="00364F09" w14:paraId="16118DDF" w14:textId="77777777">
        <w:tc>
          <w:tcPr>
            <w:tcW w:w="2736" w:type="dxa"/>
            <w:shd w:val="clear" w:color="auto" w:fill="F4F6F8"/>
          </w:tcPr>
          <w:p w14:paraId="7899AB86" w14:textId="77777777" w:rsidR="00364F09" w:rsidRDefault="00000000">
            <w:pPr>
              <w:spacing w:before="40" w:after="40"/>
            </w:pPr>
            <w:r>
              <w:rPr>
                <w:b/>
                <w:color w:val="0B1F3A"/>
                <w:sz w:val="18"/>
              </w:rPr>
              <w:t>SOAR</w:t>
            </w:r>
          </w:p>
        </w:tc>
        <w:tc>
          <w:tcPr>
            <w:tcW w:w="7200" w:type="dxa"/>
          </w:tcPr>
          <w:p w14:paraId="3A56268C" w14:textId="77777777" w:rsidR="00364F09" w:rsidRDefault="00000000">
            <w:pPr>
              <w:spacing w:before="40" w:after="40"/>
            </w:pPr>
            <w:r>
              <w:rPr>
                <w:sz w:val="18"/>
              </w:rPr>
              <w:t>Security Orchestration, Automation and Response — tooling that automates incident-response workflows.</w:t>
            </w:r>
          </w:p>
        </w:tc>
      </w:tr>
      <w:tr w:rsidR="00364F09" w14:paraId="744B28B9" w14:textId="77777777">
        <w:tc>
          <w:tcPr>
            <w:tcW w:w="2736" w:type="dxa"/>
            <w:shd w:val="clear" w:color="auto" w:fill="F4F6F8"/>
          </w:tcPr>
          <w:p w14:paraId="3A7C62A7" w14:textId="77777777" w:rsidR="00364F09" w:rsidRDefault="00000000">
            <w:pPr>
              <w:spacing w:before="40" w:after="40"/>
            </w:pPr>
            <w:r>
              <w:rPr>
                <w:b/>
                <w:color w:val="0B1F3A"/>
                <w:sz w:val="18"/>
              </w:rPr>
              <w:t>IOC</w:t>
            </w:r>
          </w:p>
        </w:tc>
        <w:tc>
          <w:tcPr>
            <w:tcW w:w="7200" w:type="dxa"/>
          </w:tcPr>
          <w:p w14:paraId="50E174D0" w14:textId="77777777" w:rsidR="00364F09" w:rsidRDefault="00000000">
            <w:pPr>
              <w:spacing w:before="40" w:after="40"/>
            </w:pPr>
            <w:r>
              <w:rPr>
                <w:sz w:val="18"/>
              </w:rPr>
              <w:t>Indicator of Compromise — a known-bad artifact (file fingerprint, address, domain) used by signature-based tools.</w:t>
            </w:r>
          </w:p>
        </w:tc>
      </w:tr>
      <w:tr w:rsidR="00364F09" w14:paraId="2A3690A9" w14:textId="77777777">
        <w:tc>
          <w:tcPr>
            <w:tcW w:w="2736" w:type="dxa"/>
            <w:shd w:val="clear" w:color="auto" w:fill="F4F6F8"/>
          </w:tcPr>
          <w:p w14:paraId="02664742" w14:textId="77777777" w:rsidR="00364F09" w:rsidRDefault="00000000">
            <w:pPr>
              <w:spacing w:before="40" w:after="40"/>
            </w:pPr>
            <w:r>
              <w:rPr>
                <w:b/>
                <w:color w:val="0B1F3A"/>
                <w:sz w:val="18"/>
              </w:rPr>
              <w:t>APT</w:t>
            </w:r>
          </w:p>
        </w:tc>
        <w:tc>
          <w:tcPr>
            <w:tcW w:w="7200" w:type="dxa"/>
          </w:tcPr>
          <w:p w14:paraId="28C860CE" w14:textId="77777777" w:rsidR="00364F09" w:rsidRDefault="00000000">
            <w:pPr>
              <w:spacing w:before="40" w:after="40"/>
            </w:pPr>
            <w:r>
              <w:rPr>
                <w:sz w:val="18"/>
              </w:rPr>
              <w:t>Advanced Persistent Threat — a patient, well-resourced (typically nation-state) intrusion that remains hidden for months or years.</w:t>
            </w:r>
          </w:p>
        </w:tc>
      </w:tr>
      <w:tr w:rsidR="00364F09" w14:paraId="20A7D5B8" w14:textId="77777777">
        <w:tc>
          <w:tcPr>
            <w:tcW w:w="2736" w:type="dxa"/>
            <w:shd w:val="clear" w:color="auto" w:fill="F4F6F8"/>
          </w:tcPr>
          <w:p w14:paraId="0A587B5D" w14:textId="77777777" w:rsidR="00364F09" w:rsidRDefault="00000000">
            <w:pPr>
              <w:spacing w:before="40" w:after="40"/>
            </w:pPr>
            <w:r>
              <w:rPr>
                <w:b/>
                <w:color w:val="0B1F3A"/>
                <w:sz w:val="18"/>
              </w:rPr>
              <w:t>C2 (command and control)</w:t>
            </w:r>
          </w:p>
        </w:tc>
        <w:tc>
          <w:tcPr>
            <w:tcW w:w="7200" w:type="dxa"/>
          </w:tcPr>
          <w:p w14:paraId="7F815BB3" w14:textId="77777777" w:rsidR="00364F09" w:rsidRDefault="00000000">
            <w:pPr>
              <w:spacing w:before="40" w:after="40"/>
            </w:pPr>
            <w:r>
              <w:rPr>
                <w:sz w:val="18"/>
              </w:rPr>
              <w:t>The covert channel through which an implanted attacker tool "calls home" for instructions and ships out data.</w:t>
            </w:r>
          </w:p>
        </w:tc>
      </w:tr>
      <w:tr w:rsidR="00364F09" w14:paraId="360B6CE4" w14:textId="77777777">
        <w:tc>
          <w:tcPr>
            <w:tcW w:w="2736" w:type="dxa"/>
            <w:shd w:val="clear" w:color="auto" w:fill="F4F6F8"/>
          </w:tcPr>
          <w:p w14:paraId="61BEB8B3" w14:textId="77777777" w:rsidR="00364F09" w:rsidRDefault="00000000">
            <w:pPr>
              <w:spacing w:before="40" w:after="40"/>
            </w:pPr>
            <w:r>
              <w:rPr>
                <w:b/>
                <w:color w:val="0B1F3A"/>
                <w:sz w:val="18"/>
              </w:rPr>
              <w:t>LOTL</w:t>
            </w:r>
          </w:p>
        </w:tc>
        <w:tc>
          <w:tcPr>
            <w:tcW w:w="7200" w:type="dxa"/>
          </w:tcPr>
          <w:p w14:paraId="6CC0A874" w14:textId="77777777" w:rsidR="00364F09" w:rsidRDefault="00000000">
            <w:pPr>
              <w:spacing w:before="40" w:after="40"/>
            </w:pPr>
            <w:r>
              <w:rPr>
                <w:sz w:val="18"/>
              </w:rPr>
              <w:t>Living off the land — attacking with only the legitimate administration tools already present on target systems; nothing to fingerprint.</w:t>
            </w:r>
          </w:p>
        </w:tc>
      </w:tr>
      <w:tr w:rsidR="00364F09" w14:paraId="746C201A" w14:textId="77777777">
        <w:tc>
          <w:tcPr>
            <w:tcW w:w="2736" w:type="dxa"/>
            <w:shd w:val="clear" w:color="auto" w:fill="F4F6F8"/>
          </w:tcPr>
          <w:p w14:paraId="6F5D3F51" w14:textId="77777777" w:rsidR="00364F09" w:rsidRDefault="00000000">
            <w:pPr>
              <w:spacing w:before="40" w:after="40"/>
            </w:pPr>
            <w:r>
              <w:rPr>
                <w:b/>
                <w:color w:val="0B1F3A"/>
                <w:sz w:val="18"/>
              </w:rPr>
              <w:t>MITRE ATT&amp;CK</w:t>
            </w:r>
          </w:p>
        </w:tc>
        <w:tc>
          <w:tcPr>
            <w:tcW w:w="7200" w:type="dxa"/>
          </w:tcPr>
          <w:p w14:paraId="6752F41E" w14:textId="77777777" w:rsidR="00364F09" w:rsidRDefault="00000000">
            <w:pPr>
              <w:spacing w:before="40" w:after="40"/>
            </w:pPr>
            <w:r>
              <w:rPr>
                <w:sz w:val="18"/>
              </w:rPr>
              <w:t>The industry-standard public catalog of adversary tactics and techniques, used as a common language for describing attacker behavior.</w:t>
            </w:r>
          </w:p>
        </w:tc>
      </w:tr>
      <w:tr w:rsidR="00364F09" w14:paraId="3A37B313" w14:textId="77777777">
        <w:tc>
          <w:tcPr>
            <w:tcW w:w="2736" w:type="dxa"/>
            <w:shd w:val="clear" w:color="auto" w:fill="F4F6F8"/>
          </w:tcPr>
          <w:p w14:paraId="7318734A" w14:textId="77777777" w:rsidR="00364F09" w:rsidRDefault="00000000">
            <w:pPr>
              <w:spacing w:before="40" w:after="40"/>
            </w:pPr>
            <w:r>
              <w:rPr>
                <w:b/>
                <w:color w:val="0B1F3A"/>
                <w:sz w:val="18"/>
              </w:rPr>
              <w:t>CISA</w:t>
            </w:r>
          </w:p>
        </w:tc>
        <w:tc>
          <w:tcPr>
            <w:tcW w:w="7200" w:type="dxa"/>
          </w:tcPr>
          <w:p w14:paraId="0C0BC2AA" w14:textId="77777777" w:rsidR="00364F09" w:rsidRDefault="00000000">
            <w:pPr>
              <w:spacing w:before="40" w:after="40"/>
            </w:pPr>
            <w:r>
              <w:rPr>
                <w:sz w:val="18"/>
              </w:rPr>
              <w:t>Cybersecurity and Infrastructure Security Agency — the U.S. government agency that publishes authoritative threat advisories.</w:t>
            </w:r>
          </w:p>
        </w:tc>
      </w:tr>
      <w:tr w:rsidR="00364F09" w14:paraId="2377DFD0" w14:textId="77777777">
        <w:tc>
          <w:tcPr>
            <w:tcW w:w="2736" w:type="dxa"/>
            <w:shd w:val="clear" w:color="auto" w:fill="F4F6F8"/>
          </w:tcPr>
          <w:p w14:paraId="05DDA60A" w14:textId="77777777" w:rsidR="00364F09" w:rsidRDefault="00000000">
            <w:pPr>
              <w:spacing w:before="40" w:after="40"/>
            </w:pPr>
            <w:r>
              <w:rPr>
                <w:b/>
                <w:color w:val="0B1F3A"/>
                <w:sz w:val="18"/>
              </w:rPr>
              <w:t>Composite scoring</w:t>
            </w:r>
          </w:p>
        </w:tc>
        <w:tc>
          <w:tcPr>
            <w:tcW w:w="7200" w:type="dxa"/>
          </w:tcPr>
          <w:p w14:paraId="233781B6" w14:textId="77777777" w:rsidR="00364F09" w:rsidRDefault="00000000">
            <w:pPr>
              <w:spacing w:before="40" w:after="40"/>
            </w:pPr>
            <w:r>
              <w:rPr>
                <w:sz w:val="18"/>
              </w:rPr>
              <w:t>Fusing five independent behavioral questions (signal strength, breadth, persistence, context divergence, novelty) into one ranked risk score per user.</w:t>
            </w:r>
          </w:p>
        </w:tc>
      </w:tr>
      <w:tr w:rsidR="00364F09" w14:paraId="3C1DB582" w14:textId="77777777">
        <w:tc>
          <w:tcPr>
            <w:tcW w:w="2736" w:type="dxa"/>
            <w:shd w:val="clear" w:color="auto" w:fill="F4F6F8"/>
          </w:tcPr>
          <w:p w14:paraId="48D1E6FC" w14:textId="77777777" w:rsidR="00364F09" w:rsidRDefault="00000000">
            <w:pPr>
              <w:spacing w:before="40" w:after="40"/>
            </w:pPr>
            <w:r>
              <w:rPr>
                <w:b/>
                <w:color w:val="0B1F3A"/>
                <w:sz w:val="18"/>
              </w:rPr>
              <w:t>Novelty persistence</w:t>
            </w:r>
          </w:p>
        </w:tc>
        <w:tc>
          <w:tcPr>
            <w:tcW w:w="7200" w:type="dxa"/>
          </w:tcPr>
          <w:p w14:paraId="379722C5" w14:textId="77777777" w:rsidR="00364F09" w:rsidRDefault="00000000">
            <w:pPr>
              <w:spacing w:before="40" w:after="40"/>
            </w:pPr>
            <w:r>
              <w:rPr>
                <w:sz w:val="18"/>
              </w:rPr>
              <w:t>A never-before-seen behavior (e.g., a new external contact) that keeps recurring week after week — the fingerprint of covert C2 infrastructure.</w:t>
            </w:r>
          </w:p>
        </w:tc>
      </w:tr>
      <w:tr w:rsidR="00364F09" w14:paraId="40D2D016" w14:textId="77777777">
        <w:tc>
          <w:tcPr>
            <w:tcW w:w="2736" w:type="dxa"/>
            <w:shd w:val="clear" w:color="auto" w:fill="F4F6F8"/>
          </w:tcPr>
          <w:p w14:paraId="5AC9232D" w14:textId="77777777" w:rsidR="00364F09" w:rsidRDefault="00000000">
            <w:pPr>
              <w:spacing w:before="40" w:after="40"/>
            </w:pPr>
            <w:r>
              <w:rPr>
                <w:b/>
                <w:color w:val="0B1F3A"/>
                <w:sz w:val="18"/>
              </w:rPr>
              <w:t>False-positive rate</w:t>
            </w:r>
          </w:p>
        </w:tc>
        <w:tc>
          <w:tcPr>
            <w:tcW w:w="7200" w:type="dxa"/>
          </w:tcPr>
          <w:p w14:paraId="71576537" w14:textId="77777777" w:rsidR="00364F09" w:rsidRDefault="00000000">
            <w:pPr>
              <w:spacing w:before="40" w:after="40"/>
            </w:pPr>
            <w:r>
              <w:rPr>
                <w:sz w:val="18"/>
              </w:rPr>
              <w:t>The share of normal users incorrectly flagged; here 8.1% = 20 of 246 normal users at the chosen threshold.</w:t>
            </w:r>
          </w:p>
        </w:tc>
      </w:tr>
      <w:tr w:rsidR="00364F09" w14:paraId="642F9B5E" w14:textId="77777777">
        <w:tc>
          <w:tcPr>
            <w:tcW w:w="2736" w:type="dxa"/>
            <w:shd w:val="clear" w:color="auto" w:fill="F4F6F8"/>
          </w:tcPr>
          <w:p w14:paraId="7285C56A" w14:textId="77777777" w:rsidR="00364F09" w:rsidRDefault="00000000">
            <w:pPr>
              <w:spacing w:before="40" w:after="40"/>
            </w:pPr>
            <w:r>
              <w:rPr>
                <w:b/>
                <w:color w:val="0B1F3A"/>
                <w:sz w:val="18"/>
              </w:rPr>
              <w:t>Z-Score / Isolation Forest / Local Outlier Factor / One-Class SVM</w:t>
            </w:r>
          </w:p>
        </w:tc>
        <w:tc>
          <w:tcPr>
            <w:tcW w:w="7200" w:type="dxa"/>
          </w:tcPr>
          <w:p w14:paraId="10F36327" w14:textId="77777777" w:rsidR="00364F09" w:rsidRDefault="00000000">
            <w:pPr>
              <w:spacing w:before="40" w:after="40"/>
            </w:pPr>
            <w:r>
              <w:rPr>
                <w:sz w:val="18"/>
              </w:rPr>
              <w:t>The four industry-standard statistical and machine-learning anomaly detectors used as the traditional comparison baseline in this study.</w:t>
            </w:r>
          </w:p>
        </w:tc>
      </w:tr>
      <w:tr w:rsidR="00364F09" w14:paraId="138A13BD" w14:textId="77777777">
        <w:tc>
          <w:tcPr>
            <w:tcW w:w="2736" w:type="dxa"/>
            <w:shd w:val="clear" w:color="auto" w:fill="F4F6F8"/>
          </w:tcPr>
          <w:p w14:paraId="11685AF0" w14:textId="77777777" w:rsidR="00364F09" w:rsidRDefault="00000000">
            <w:pPr>
              <w:spacing w:before="40" w:after="40"/>
            </w:pPr>
            <w:r>
              <w:rPr>
                <w:b/>
                <w:color w:val="0B1F3A"/>
                <w:sz w:val="18"/>
              </w:rPr>
              <w:t>Zero Trust</w:t>
            </w:r>
          </w:p>
        </w:tc>
        <w:tc>
          <w:tcPr>
            <w:tcW w:w="7200" w:type="dxa"/>
          </w:tcPr>
          <w:p w14:paraId="6B757157" w14:textId="77777777" w:rsidR="00364F09" w:rsidRDefault="00000000">
            <w:pPr>
              <w:spacing w:before="40" w:after="40"/>
            </w:pPr>
            <w:r>
              <w:rPr>
                <w:sz w:val="18"/>
              </w:rPr>
              <w:t>The federal security architecture mandate that no user or device is trusted by default; every access is continuously verified.</w:t>
            </w:r>
          </w:p>
        </w:tc>
      </w:tr>
      <w:tr w:rsidR="00364F09" w14:paraId="13158D55" w14:textId="77777777">
        <w:tc>
          <w:tcPr>
            <w:tcW w:w="2736" w:type="dxa"/>
            <w:shd w:val="clear" w:color="auto" w:fill="F4F6F8"/>
          </w:tcPr>
          <w:p w14:paraId="3323FA2D" w14:textId="77777777" w:rsidR="00364F09" w:rsidRDefault="00000000">
            <w:pPr>
              <w:spacing w:before="40" w:after="40"/>
            </w:pPr>
            <w:r>
              <w:rPr>
                <w:b/>
                <w:color w:val="0B1F3A"/>
                <w:sz w:val="18"/>
              </w:rPr>
              <w:t>Synthetic data</w:t>
            </w:r>
          </w:p>
        </w:tc>
        <w:tc>
          <w:tcPr>
            <w:tcW w:w="7200" w:type="dxa"/>
          </w:tcPr>
          <w:p w14:paraId="064152E3" w14:textId="77777777" w:rsidR="00364F09" w:rsidRDefault="00000000">
            <w:pPr>
              <w:spacing w:before="40" w:after="40"/>
            </w:pPr>
            <w:r>
              <w:rPr>
                <w:sz w:val="18"/>
              </w:rPr>
              <w:t>Simulated telemetry built to prove the concept — here calibrated against public CISA advisories — before access to real operational data.</w:t>
            </w:r>
          </w:p>
        </w:tc>
      </w:tr>
    </w:tbl>
    <w:p w14:paraId="3CDBB891" w14:textId="77777777" w:rsidR="00364F09" w:rsidRDefault="00364F09"/>
    <w:p w14:paraId="54445F7A" w14:textId="77777777" w:rsidR="00364F09" w:rsidRDefault="00000000">
      <w:r>
        <w:rPr>
          <w:i/>
          <w:color w:val="555F6B"/>
          <w:sz w:val="18"/>
        </w:rPr>
        <w:lastRenderedPageBreak/>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364F09"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8624522">
    <w:abstractNumId w:val="8"/>
  </w:num>
  <w:num w:numId="2" w16cid:durableId="1630553838">
    <w:abstractNumId w:val="6"/>
  </w:num>
  <w:num w:numId="3" w16cid:durableId="195897816">
    <w:abstractNumId w:val="5"/>
  </w:num>
  <w:num w:numId="4" w16cid:durableId="132869485">
    <w:abstractNumId w:val="4"/>
  </w:num>
  <w:num w:numId="5" w16cid:durableId="31805461">
    <w:abstractNumId w:val="7"/>
  </w:num>
  <w:num w:numId="6" w16cid:durableId="99761343">
    <w:abstractNumId w:val="3"/>
  </w:num>
  <w:num w:numId="7" w16cid:durableId="23865656">
    <w:abstractNumId w:val="2"/>
  </w:num>
  <w:num w:numId="8" w16cid:durableId="408314766">
    <w:abstractNumId w:val="1"/>
  </w:num>
  <w:num w:numId="9" w16cid:durableId="2068991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2E1B"/>
    <w:rsid w:val="00034616"/>
    <w:rsid w:val="0006063C"/>
    <w:rsid w:val="0015074B"/>
    <w:rsid w:val="0029639D"/>
    <w:rsid w:val="00326F90"/>
    <w:rsid w:val="00364F09"/>
    <w:rsid w:val="00813512"/>
    <w:rsid w:val="00854586"/>
    <w:rsid w:val="00856BB1"/>
    <w:rsid w:val="009920FD"/>
    <w:rsid w:val="00A4008B"/>
    <w:rsid w:val="00AA1D8D"/>
    <w:rsid w:val="00B044CF"/>
    <w:rsid w:val="00B47730"/>
    <w:rsid w:val="00CB0664"/>
    <w:rsid w:val="00DB25C5"/>
    <w:rsid w:val="00E33F89"/>
    <w:rsid w:val="00F4238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ADF06"/>
  <w14:defaultImageDpi w14:val="300"/>
  <w15:docId w15:val="{009F5788-B75B-674F-8C02-7B5CB4B1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032E1B"/>
    <w:pPr>
      <w:spacing w:after="0" w:line="240" w:lineRule="auto"/>
    </w:pPr>
    <w:rPr>
      <w:rFonts w:ascii="Calibri" w:hAnsi="Calibri"/>
      <w:sz w:val="21"/>
    </w:rPr>
  </w:style>
  <w:style w:type="character" w:styleId="CommentReference">
    <w:name w:val="annotation reference"/>
    <w:basedOn w:val="DefaultParagraphFont"/>
    <w:uiPriority w:val="99"/>
    <w:semiHidden/>
    <w:unhideWhenUsed/>
    <w:rsid w:val="00032E1B"/>
    <w:rPr>
      <w:sz w:val="16"/>
      <w:szCs w:val="16"/>
    </w:rPr>
  </w:style>
  <w:style w:type="paragraph" w:styleId="CommentText">
    <w:name w:val="annotation text"/>
    <w:basedOn w:val="Normal"/>
    <w:link w:val="CommentTextChar"/>
    <w:uiPriority w:val="99"/>
    <w:unhideWhenUsed/>
    <w:rsid w:val="00032E1B"/>
    <w:pPr>
      <w:spacing w:line="240" w:lineRule="auto"/>
    </w:pPr>
    <w:rPr>
      <w:sz w:val="20"/>
      <w:szCs w:val="20"/>
    </w:rPr>
  </w:style>
  <w:style w:type="character" w:customStyle="1" w:styleId="CommentTextChar">
    <w:name w:val="Comment Text Char"/>
    <w:basedOn w:val="DefaultParagraphFont"/>
    <w:link w:val="CommentText"/>
    <w:uiPriority w:val="99"/>
    <w:rsid w:val="00032E1B"/>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032E1B"/>
    <w:rPr>
      <w:b/>
      <w:bCs/>
    </w:rPr>
  </w:style>
  <w:style w:type="character" w:customStyle="1" w:styleId="CommentSubjectChar">
    <w:name w:val="Comment Subject Char"/>
    <w:basedOn w:val="CommentTextChar"/>
    <w:link w:val="CommentSubject"/>
    <w:uiPriority w:val="99"/>
    <w:semiHidden/>
    <w:rsid w:val="00032E1B"/>
    <w:rPr>
      <w:rFonts w:ascii="Calibri" w:hAnsi="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4" Type="http://schemas.openxmlformats.org/officeDocument/2006/relationships/settings" Target="settings.xml"/><Relationship Id="rId14" Type="http://schemas.openxmlformats.org/officeDocument/2006/relationships/image" Target="media/image5.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4291</Words>
  <Characters>24463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Ravindra Shukla</cp:lastModifiedBy>
  <cp:revision>2</cp:revision>
  <dcterms:created xsi:type="dcterms:W3CDTF">2026-06-12T02:18:00Z</dcterms:created>
  <dcterms:modified xsi:type="dcterms:W3CDTF">2026-06-12T02:18:00Z</dcterms:modified>
  <cp:category/>
</cp:coreProperties>
</file>