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Tough-Questions Cheat Sheet</w:t>
      </w:r>
    </w:p>
    <w:p>
      <w:pPr>
        <w:jc w:val="center"/>
      </w:pPr>
      <w:r>
        <w:rPr>
          <w:color w:val="2E75B6"/>
          <w:sz w:val="22"/>
        </w:rPr>
        <w:t>Brandon Pugh Technical Deep-Dive  |  Internal Prep</w:t>
      </w:r>
    </w:p>
    <w:p>
      <w:pPr>
        <w:jc w:val="center"/>
      </w:pPr>
      <w:r>
        <w:rPr>
          <w:b/>
          <w:color w:val="A61B1B"/>
          <w:sz w:val="19"/>
        </w:rPr>
        <w:t>INTERNAL USE ONLY. Lead with candor; he rewards it.</w:t>
      </w:r>
    </w:p>
    <w:p>
      <w:pPr>
        <w:pStyle w:val="Heading1"/>
      </w:pPr>
      <w:r>
        <w:rPr>
          <w:color w:val="1F3864"/>
        </w:rPr>
        <w:t>Numbers to keep straight</w:t>
      </w:r>
    </w:p>
    <w:p>
      <w:pPr>
        <w:pStyle w:val="ListBullet"/>
      </w:pPr>
      <w:r>
        <w:rPr>
          <w:b/>
        </w:rPr>
        <w:t xml:space="preserve">Dataset: </w:t>
      </w:r>
      <w:r>
        <w:t>250 entities, 485 days, about 14 million events, 5 log sources.</w:t>
      </w:r>
    </w:p>
    <w:p>
      <w:pPr>
        <w:pStyle w:val="ListBullet"/>
      </w:pPr>
      <w:r>
        <w:rPr>
          <w:b/>
        </w:rPr>
        <w:t xml:space="preserve">Detection: </w:t>
      </w:r>
      <w:r>
        <w:t>threat-profile detector (primary) 4 of 4 at 0 FP by named technique; composite 4 of 4 at 8.1 percent false positive (not 8.5), cleanly separating only 2 of 4 (USR-118, USR-156). Baselines: Isolation Forest, SVM, LOF each 0 of 4; z-score 1 of 4.</w:t>
      </w:r>
    </w:p>
    <w:p>
      <w:pPr>
        <w:pStyle w:val="ListBullet"/>
      </w:pPr>
      <w:r>
        <w:rPr>
          <w:b/>
        </w:rPr>
        <w:t xml:space="preserve">Ranks: </w:t>
      </w:r>
      <w:r>
        <w:t>Salt #1, Insider #2, Slow APT #7, Volt #24. Volt is #24, the deck is correct.</w:t>
      </w:r>
    </w:p>
    <w:p>
      <w:pPr>
        <w:pStyle w:val="ListBullet"/>
      </w:pPr>
      <w:r>
        <w:rPr>
          <w:b/>
        </w:rPr>
        <w:t xml:space="preserve">Where 8.1 comes from: </w:t>
      </w:r>
      <w:r>
        <w:t>to catch the stealthiest attacker, Volt at composite 13.70, the threshold sits at 13.70; about 20 normal users score above it, so 20 of 246 = 8.1 percent.</w:t>
      </w:r>
    </w:p>
    <w:p>
      <w:pPr>
        <w:pStyle w:val="ListBullet"/>
      </w:pPr>
      <w:r>
        <w:rPr>
          <w:b/>
        </w:rPr>
        <w:t xml:space="preserve">Separation is by rank, not a clean gap: </w:t>
      </w:r>
      <w:r>
        <w:t>the top normal user (composite 21.5) outscores Slow APT (19.4) and Volt (13.7); all four still surface at the top of the ranked list. Present it that way.</w:t>
      </w:r>
    </w:p>
    <w:p>
      <w:pPr>
        <w:pStyle w:val="Heading1"/>
      </w:pPr>
      <w:r>
        <w:rPr>
          <w:color w:val="1F3864"/>
        </w:rPr>
        <w:t>Questions and answers</w:t>
      </w:r>
    </w:p>
    <w:p>
      <w:r>
        <w:rPr>
          <w:b/>
          <w:color w:val="1F3864"/>
        </w:rPr>
        <w:t>Q. It is synthetic. How do you know it works on real DoD telemetry?</w:t>
      </w:r>
    </w:p>
    <w:p>
      <w:r>
        <w:t>A. It is a controlled blind test to prove the mechanism, not operational proof, and we say so. The next step is a bounded pilot on real data.</w:t>
      </w:r>
    </w:p>
    <w:p/>
    <w:p>
      <w:r>
        <w:rPr>
          <w:b/>
          <w:color w:val="1F3864"/>
        </w:rPr>
        <w:t>Q. 8.1 percent false positive is a lot at DoD scale.</w:t>
      </w:r>
    </w:p>
    <w:p>
      <w:r>
        <w:t>A. It is a risk-ranked list, not threshold alerts; analysts work top-down. The operating point is a proof-of-concept reporting benchmark to be tuned and re-validated on real data.</w:t>
      </w:r>
    </w:p>
    <w:p/>
    <w:p>
      <w:r>
        <w:rPr>
          <w:b/>
          <w:color w:val="1F3864"/>
        </w:rPr>
        <w:t>Q. Show me where 8.1 percent comes from.</w:t>
      </w:r>
    </w:p>
    <w:p>
      <w:r>
        <w:t>A. Sort the 250 entities by composite. To catch Volt at 13.70 (rank #24), the threshold is 13.70; 20 normal users score above it, so 20 of 246 = 8.1 percent, catching all four. We can derive it live from the results file.</w:t>
      </w:r>
    </w:p>
    <w:p/>
    <w:p>
      <w:r>
        <w:rPr>
          <w:b/>
          <w:color w:val="1F3864"/>
        </w:rPr>
        <w:t>Q. Your top normal user outscores two of your attackers, so that is not clean separation.</w:t>
      </w:r>
    </w:p>
    <w:p>
      <w:r>
        <w:t>A. Correct, and we present it that way. The two stealthiest attackers (Volt, Slow APT) do not separate on raw score; they surface by rank, which is why we deliver a risk-ranked list, not a threshold. The claim is recall at the top of the ranking.</w:t>
      </w:r>
    </w:p>
    <w:p/>
    <w:p>
      <w:r>
        <w:rPr>
          <w:b/>
          <w:color w:val="1F3864"/>
        </w:rPr>
        <w:t>Q. How is this different from Exabeam, Securonix, or Splunk UBA?</w:t>
      </w:r>
    </w:p>
    <w:p>
      <w:r>
        <w:t>A. Meaning versus counts, direction versus magnitude, and the measured 0 of 4 versus 4 of 4 on the same data.</w:t>
      </w:r>
    </w:p>
    <w:p/>
    <w:p>
      <w:r>
        <w:rPr>
          <w:b/>
          <w:color w:val="1F3864"/>
        </w:rPr>
        <w:t>Q. Did you select the operating point with knowledge of ground truth?</w:t>
      </w:r>
    </w:p>
    <w:p>
      <w:r>
        <w:t>A. Yes, in the proof of concept; it is a reporting benchmark to be re-validated, not a deployable threshold. We are explicit about it.</w:t>
      </w:r>
    </w:p>
    <w:p/>
    <w:p>
      <w:r>
        <w:rPr>
          <w:b/>
          <w:color w:val="1F3864"/>
        </w:rPr>
        <w:t>Q. You used a commercial embedding model. Data sovereignty and air-gap?</w:t>
      </w:r>
    </w:p>
    <w:p>
      <w:r>
        <w:t>A. A deterministic offline mode runs today, and a local open embedding model can replace the commercial one in an enclave. No personally identifiable information is placed in the embedding.</w:t>
      </w:r>
    </w:p>
    <w:p/>
    <w:p>
      <w:r>
        <w:rPr>
          <w:b/>
          <w:color w:val="1F3864"/>
        </w:rPr>
        <w:t>Q. Scale: 250 entities versus millions?</w:t>
      </w:r>
    </w:p>
    <w:p>
      <w:r>
        <w:t>A. The architecture, cohorts, and snapshot model are designed to scale; we are straight about what is proven (250) versus engineered for scale (roadmap). Scale is a pilot deliverable.</w:t>
      </w:r>
    </w:p>
    <w:p/>
    <w:p>
      <w:r>
        <w:rPr>
          <w:b/>
          <w:color w:val="1F3864"/>
        </w:rPr>
        <w:t>Q. Can an adversary who knows about behavioral detection evade it?</w:t>
      </w:r>
    </w:p>
    <w:p>
      <w:r>
        <w:t>A. Multi-front design: being normal on every front at once is far harder than beating one threshold. Hardening the detector itself (adversarial machine learning, MITRE ATLAS) is on the roadmap.</w:t>
      </w:r>
    </w:p>
    <w:p/>
    <w:p>
      <w:r>
        <w:rPr>
          <w:b/>
          <w:color w:val="1F3864"/>
        </w:rPr>
        <w:t>Q. Are identity fusion, tamper-evident forensics, and automated response built?</w:t>
      </w:r>
    </w:p>
    <w:p>
      <w:r>
        <w:t>A. The detection core is built and demoed. Identity fusion across many systems, tamper-evident evidence, and proportional response are designed and are the next build phase. We do not present them as running today.</w:t>
      </w:r>
    </w:p>
    <w:p/>
    <w:p>
      <w:r>
        <w:rPr>
          <w:b/>
          <w:color w:val="1F3864"/>
        </w:rPr>
        <w:t>Q. Are the preemptive, API, and code layers part of this demo?</w:t>
      </w:r>
    </w:p>
    <w:p>
      <w:r>
        <w:t>A. No. What runs live today is the behavioral detection layer. The other layers are part of the architecture; some are partner or separate capabilities, and we will not present them as running in this demo.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