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36"/>
        </w:rPr>
        <w:t>Partner Briefing Packet</w:t>
      </w:r>
    </w:p>
    <w:p>
      <w:pPr>
        <w:jc w:val="center"/>
      </w:pPr>
      <w:r>
        <w:rPr>
          <w:color w:val="2E75B6"/>
          <w:sz w:val="23"/>
        </w:rPr>
        <w:t>Representing 22nd Century in the Army Working Session  |  For Rigor AI (Layer 1) and Cequence (Layer 3)</w:t>
      </w:r>
    </w:p>
    <w:p>
      <w:pPr>
        <w:jc w:val="center"/>
      </w:pPr>
      <w:r>
        <w:rPr>
          <w:b/>
          <w:color w:val="A61B1B"/>
          <w:sz w:val="19"/>
        </w:rPr>
        <w:t>Please read before the session. You present as part of the 22nd Century team.</w:t>
      </w:r>
    </w:p>
    <w:p>
      <w:pPr>
        <w:pStyle w:val="Heading1"/>
      </w:pPr>
      <w:r>
        <w:rPr>
          <w:color w:val="1F3864"/>
        </w:rPr>
        <w:t>1. The mission</w:t>
      </w:r>
    </w:p>
    <w:p>
      <w:r>
        <w:rPr>
          <w:b w:val="0"/>
          <w:i w:val="0"/>
        </w:rPr>
        <w:t>One session, one platform. You are presenting as part of the 22nd Century team. The customer experiences a single integrated four-layer platform (V-Intelligence), not three companies. 22nd Century is the prime and integrator and runs the open, the transitions, and the close. Your job is to make your layer land as a seamless part of that one platform.</w:t>
      </w:r>
    </w:p>
    <w:p>
      <w:pPr>
        <w:pStyle w:val="Heading1"/>
      </w:pPr>
      <w:r>
        <w:rPr>
          <w:color w:val="1F3864"/>
        </w:rPr>
        <w:t>2. The audience (and why candor is non-negotiable)</w:t>
      </w:r>
    </w:p>
    <w:p>
      <w:pPr>
        <w:pStyle w:val="ListBullet"/>
      </w:pPr>
      <w:r>
        <w:rPr>
          <w:b/>
        </w:rPr>
        <w:t xml:space="preserve">Dr. Judy Esquibel </w:t>
      </w:r>
      <w:r>
        <w:t>- Senior Cyber Advisor, U.S. Army Cyber Command (ARCYBER); PhD; critical-infrastructure exercise lead. Deeply technical. She will probe detection fidelity and provenance. She rewards candor and detects overclaim instantly.</w:t>
      </w:r>
    </w:p>
    <w:p>
      <w:pPr>
        <w:pStyle w:val="ListBullet"/>
      </w:pPr>
      <w:r>
        <w:rPr>
          <w:b/>
        </w:rPr>
        <w:t xml:space="preserve">LTC Micah DiGrezio </w:t>
      </w:r>
      <w:r>
        <w:t>- Army acquisition (PM Cyber &amp; Space). He judges whether this can be bought, integrated, and fielded. He will ask about data, footprint, sustainment, and contract structure.</w:t>
      </w:r>
    </w:p>
    <w:p>
      <w:pPr>
        <w:pStyle w:val="ListBullet"/>
      </w:pPr>
      <w:r>
        <w:rPr>
          <w:b/>
        </w:rPr>
        <w:t xml:space="preserve">Kellsie Herrmann </w:t>
      </w:r>
      <w:r>
        <w:t>- Army cyber/technology policy. She judges strategic significance and authorities. Keep the math light for her.</w:t>
      </w:r>
    </w:p>
    <w:p>
      <w:pPr>
        <w:ind w:left="288"/>
      </w:pPr>
      <w:r>
        <w:rPr>
          <w:b/>
          <w:color w:val="A61B1B"/>
          <w:sz w:val="19"/>
        </w:rPr>
        <w:t>One overclaim from any presenter burns the whole team's credibility with this room. When in doubt, under-claim and defer to the 22CT lead.</w:t>
      </w:r>
    </w:p>
    <w:p>
      <w:pPr>
        <w:pStyle w:val="Heading1"/>
      </w:pPr>
      <w:r>
        <w:rPr>
          <w:color w:val="1F3864"/>
        </w:rPr>
        <w:t>3. Brand and vocabulary rules</w:t>
      </w:r>
    </w:p>
    <w:p>
      <w:pPr>
        <w:pStyle w:val="ListBullet"/>
      </w:pPr>
      <w:r>
        <w:rPr>
          <w:b/>
        </w:rPr>
        <w:t xml:space="preserve">Present your capability as 22nd Century: </w:t>
      </w:r>
      <w:r>
        <w:t>"our platform's Layer 1" (Rigor) or "our platform's Layer 3" (Cequence). Do not present your company brand front-of-room.</w:t>
      </w:r>
    </w:p>
    <w:p>
      <w:pPr>
        <w:pStyle w:val="ListBullet"/>
      </w:pPr>
      <w:r>
        <w:rPr>
          <w:b/>
        </w:rPr>
        <w:t xml:space="preserve">Use MITRE ATT&amp;CK </w:t>
      </w:r>
      <w:r>
        <w:t>as the shared vocabulary, and map your layer to the shared Volt Typhoon / Salt Typhoon scenario.</w:t>
      </w:r>
    </w:p>
    <w:p>
      <w:pPr>
        <w:pStyle w:val="ListBullet"/>
      </w:pPr>
      <w:r>
        <w:rPr>
          <w:b/>
        </w:rPr>
        <w:t xml:space="preserve">No competitive cross-talk, </w:t>
      </w:r>
      <w:r>
        <w:t>no pricing, no naming other vendors, no internal company positioning.</w:t>
      </w:r>
    </w:p>
    <w:p>
      <w:pPr>
        <w:pStyle w:val="ListBullet"/>
      </w:pPr>
      <w:r>
        <w:rPr>
          <w:b/>
        </w:rPr>
        <w:t xml:space="preserve">On 'who builds this / is this your IP / what is the contract vehicle': </w:t>
      </w:r>
      <w:r>
        <w:t>stop and hand to the 22CT lead. Do not freelance the teaming story. The 22CT lead has the agreed teaming line.</w:t>
      </w:r>
    </w:p>
    <w:p>
      <w:pPr>
        <w:pStyle w:val="Heading1"/>
      </w:pPr>
      <w:r>
        <w:rPr>
          <w:color w:val="1F3864"/>
        </w:rPr>
        <w:t>4. Your block: 60 minutes, fixed format</w:t>
      </w:r>
    </w:p>
    <w:p>
      <w:r>
        <w:rPr>
          <w:b/>
          <w:i w:val="0"/>
        </w:rPr>
        <w:t>Every layer uses the identical structure so the platform feels like one product:</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tcPr>
          <w:p>
            <w:r/>
            <w:r>
              <w:rPr>
                <w:b/>
                <w:sz w:val="17"/>
              </w:rPr>
              <w:t>Segment</w:t>
            </w:r>
          </w:p>
        </w:tc>
        <w:tc>
          <w:tcPr>
            <w:tcW w:type="dxa" w:w="1152"/>
          </w:tcPr>
          <w:p>
            <w:r/>
            <w:r>
              <w:rPr>
                <w:b/>
                <w:sz w:val="17"/>
              </w:rPr>
              <w:t>Time</w:t>
            </w:r>
          </w:p>
        </w:tc>
        <w:tc>
          <w:tcPr>
            <w:tcW w:type="dxa" w:w="6192"/>
          </w:tcPr>
          <w:p>
            <w:r/>
            <w:r>
              <w:rPr>
                <w:b/>
                <w:sz w:val="17"/>
              </w:rPr>
              <w:t>What to cover</w:t>
            </w:r>
          </w:p>
        </w:tc>
      </w:tr>
      <w:tr>
        <w:tc>
          <w:tcPr>
            <w:tcW w:type="dxa" w:w="1584"/>
          </w:tcPr>
          <w:p>
            <w:r/>
            <w:r>
              <w:rPr>
                <w:sz w:val="18"/>
              </w:rPr>
              <w:t>Theory</w:t>
            </w:r>
          </w:p>
        </w:tc>
        <w:tc>
          <w:tcPr>
            <w:tcW w:type="dxa" w:w="1152"/>
          </w:tcPr>
          <w:p>
            <w:r/>
            <w:r>
              <w:rPr>
                <w:sz w:val="18"/>
              </w:rPr>
              <w:t>15 min</w:t>
            </w:r>
          </w:p>
        </w:tc>
        <w:tc>
          <w:tcPr>
            <w:tcW w:type="dxa" w:w="6192"/>
          </w:tcPr>
          <w:p>
            <w:r/>
            <w:r>
              <w:rPr>
                <w:sz w:val="18"/>
              </w:rPr>
              <w:t>The threat at your layer, what incumbents do, and the core shortcoming. Map to MITRE.</w:t>
            </w:r>
          </w:p>
        </w:tc>
      </w:tr>
      <w:tr>
        <w:tc>
          <w:tcPr>
            <w:tcW w:type="dxa" w:w="1584"/>
          </w:tcPr>
          <w:p>
            <w:r/>
            <w:r>
              <w:rPr>
                <w:sz w:val="18"/>
              </w:rPr>
              <w:t>Live demo</w:t>
            </w:r>
          </w:p>
        </w:tc>
        <w:tc>
          <w:tcPr>
            <w:tcW w:type="dxa" w:w="1152"/>
          </w:tcPr>
          <w:p>
            <w:r/>
            <w:r>
              <w:rPr>
                <w:sz w:val="18"/>
              </w:rPr>
              <w:t>30 min</w:t>
            </w:r>
          </w:p>
        </w:tc>
        <w:tc>
          <w:tcPr>
            <w:tcW w:type="dxa" w:w="6192"/>
          </w:tcPr>
          <w:p>
            <w:r/>
            <w:r>
              <w:rPr>
                <w:sz w:val="18"/>
              </w:rPr>
              <w:t>Run it live against the shared scenario. No slideware-only. Have a backup recording.</w:t>
            </w:r>
          </w:p>
        </w:tc>
      </w:tr>
      <w:tr>
        <w:tc>
          <w:tcPr>
            <w:tcW w:type="dxa" w:w="1584"/>
          </w:tcPr>
          <w:p>
            <w:r/>
            <w:r>
              <w:rPr>
                <w:sz w:val="18"/>
              </w:rPr>
              <w:t>Results</w:t>
            </w:r>
          </w:p>
        </w:tc>
        <w:tc>
          <w:tcPr>
            <w:tcW w:type="dxa" w:w="1152"/>
          </w:tcPr>
          <w:p>
            <w:r/>
            <w:r>
              <w:rPr>
                <w:sz w:val="18"/>
              </w:rPr>
              <w:t>15 min</w:t>
            </w:r>
          </w:p>
        </w:tc>
        <w:tc>
          <w:tcPr>
            <w:tcW w:type="dxa" w:w="6192"/>
          </w:tcPr>
          <w:p>
            <w:r/>
            <w:r>
              <w:rPr>
                <w:sz w:val="18"/>
              </w:rPr>
              <w:t>The measured result: what you caught that incumbents miss, with real numbers.</w:t>
            </w:r>
          </w:p>
        </w:tc>
      </w:tr>
    </w:tbl>
    <w:p/>
    <w:p>
      <w:pPr>
        <w:pStyle w:val="ListBullet"/>
      </w:pPr>
      <w:r>
        <w:rPr>
          <w:b/>
        </w:rPr>
        <w:t xml:space="preserve">Results frame (use this exact arc): </w:t>
      </w:r>
      <w:r>
        <w:t>threat scenario -&gt; what incumbents miss -&gt; live demo -&gt; measured result.</w:t>
      </w:r>
    </w:p>
    <w:p>
      <w:pPr>
        <w:pStyle w:val="Heading1"/>
      </w:pPr>
      <w:r>
        <w:rPr>
          <w:color w:val="1F3864"/>
        </w:rPr>
        <w:t>5. Your layer and your scenario</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tcPr>
          <w:p>
            <w:r/>
            <w:r>
              <w:rPr>
                <w:b/>
                <w:sz w:val="17"/>
              </w:rPr>
              <w:t>Partner</w:t>
            </w:r>
          </w:p>
        </w:tc>
        <w:tc>
          <w:tcPr>
            <w:tcW w:type="dxa" w:w="2448"/>
          </w:tcPr>
          <w:p>
            <w:r/>
            <w:r>
              <w:rPr>
                <w:b/>
                <w:sz w:val="17"/>
              </w:rPr>
              <w:t>Layer (22CT brand)</w:t>
            </w:r>
          </w:p>
        </w:tc>
        <w:tc>
          <w:tcPr>
            <w:tcW w:type="dxa" w:w="5184"/>
          </w:tcPr>
          <w:p>
            <w:r/>
            <w:r>
              <w:rPr>
                <w:b/>
                <w:sz w:val="17"/>
              </w:rPr>
              <w:t>Map your demo to this scenario</w:t>
            </w:r>
          </w:p>
        </w:tc>
      </w:tr>
      <w:tr>
        <w:tc>
          <w:tcPr>
            <w:tcW w:type="dxa" w:w="1296"/>
          </w:tcPr>
          <w:p>
            <w:r/>
            <w:r>
              <w:rPr>
                <w:sz w:val="17"/>
              </w:rPr>
              <w:t>Rigor AI</w:t>
            </w:r>
          </w:p>
        </w:tc>
        <w:tc>
          <w:tcPr>
            <w:tcW w:type="dxa" w:w="2448"/>
          </w:tcPr>
          <w:p>
            <w:r/>
            <w:r>
              <w:rPr>
                <w:sz w:val="17"/>
              </w:rPr>
              <w:t>Layer 1 - Preemptive Network Assurance</w:t>
            </w:r>
          </w:p>
        </w:tc>
        <w:tc>
          <w:tcPr>
            <w:tcW w:type="dxa" w:w="5184"/>
          </w:tcPr>
          <w:p>
            <w:r/>
            <w:r>
              <w:rPr>
                <w:sz w:val="17"/>
              </w:rPr>
              <w:t>Prove Volt Typhoon's misconfigured-edge / cross-VLAN entry path is closed before traffic flows. Formal proof over the full config space, not sampling.</w:t>
            </w:r>
          </w:p>
        </w:tc>
      </w:tr>
      <w:tr>
        <w:tc>
          <w:tcPr>
            <w:tcW w:type="dxa" w:w="1296"/>
          </w:tcPr>
          <w:p>
            <w:r/>
            <w:r>
              <w:rPr>
                <w:sz w:val="17"/>
              </w:rPr>
              <w:t>Cequence</w:t>
            </w:r>
          </w:p>
        </w:tc>
        <w:tc>
          <w:tcPr>
            <w:tcW w:type="dxa" w:w="2448"/>
          </w:tcPr>
          <w:p>
            <w:r/>
            <w:r>
              <w:rPr>
                <w:sz w:val="17"/>
              </w:rPr>
              <w:t>Layer 3 - API, Data &amp; Agentic-AI Runtime</w:t>
            </w:r>
          </w:p>
        </w:tc>
        <w:tc>
          <w:tcPr>
            <w:tcW w:type="dxa" w:w="5184"/>
          </w:tcPr>
          <w:p>
            <w:r/>
            <w:r>
              <w:rPr>
                <w:sz w:val="17"/>
              </w:rPr>
              <w:t>Catch Salt Typhoon's API and data collection and exfiltration, plus agent/bot abuse, at runtime. Authenticated-abuse and business-logic attacks that signatures miss.</w:t>
            </w:r>
          </w:p>
        </w:tc>
      </w:tr>
    </w:tbl>
    <w:p/>
    <w:p>
      <w:pPr>
        <w:pStyle w:val="Heading1"/>
      </w:pPr>
      <w:r>
        <w:rPr>
          <w:color w:val="1F3864"/>
        </w:rPr>
        <w:t>6. Federal-readiness you must each cover</w:t>
      </w:r>
    </w:p>
    <w:p>
      <w:r>
        <w:rPr>
          <w:b w:val="0"/>
          <w:i w:val="0"/>
        </w:rPr>
        <w:t>DiGrezio judges fieldability across the whole stack, so every layer must speak to:</w:t>
      </w:r>
    </w:p>
    <w:p>
      <w:pPr>
        <w:pStyle w:val="ListBullet"/>
      </w:pPr>
      <w:r>
        <w:rPr>
          <w:b/>
        </w:rPr>
        <w:t xml:space="preserve">Data / telemetry: </w:t>
      </w:r>
      <w:r>
        <w:t>what your layer needs, ideally from telemetry already collected.</w:t>
      </w:r>
    </w:p>
    <w:p>
      <w:pPr>
        <w:pStyle w:val="ListBullet"/>
      </w:pPr>
      <w:r>
        <w:rPr>
          <w:b/>
        </w:rPr>
        <w:t xml:space="preserve">Footprint and accreditation: </w:t>
      </w:r>
      <w:r>
        <w:t>containerized; deployable across IL5, IL6, and JWICS; air-gap / offline option.</w:t>
      </w:r>
    </w:p>
    <w:p>
      <w:pPr>
        <w:pStyle w:val="ListBullet"/>
      </w:pPr>
      <w:r>
        <w:rPr>
          <w:b/>
        </w:rPr>
        <w:t xml:space="preserve">Integration: </w:t>
      </w:r>
      <w:r>
        <w:t>how your layer fits an existing Army cyber stack without rip-and-replace.</w:t>
      </w:r>
    </w:p>
    <w:p>
      <w:pPr>
        <w:pStyle w:val="ListBullet"/>
      </w:pPr>
      <w:r>
        <w:rPr>
          <w:b/>
        </w:rPr>
        <w:t xml:space="preserve">Sustainment: </w:t>
      </w:r>
      <w:r>
        <w:t>how updates and new threat coverage are delivered.</w:t>
      </w:r>
    </w:p>
    <w:p>
      <w:pPr>
        <w:pStyle w:val="Heading1"/>
      </w:pPr>
      <w:r>
        <w:rPr>
          <w:color w:val="1F3864"/>
        </w:rPr>
        <w:t>7. Logistics and discipline (IN-PERSON)</w:t>
      </w:r>
    </w:p>
    <w:p>
      <w:pPr>
        <w:ind w:left="288"/>
      </w:pPr>
      <w:r>
        <w:rPr>
          <w:b/>
          <w:color w:val="A61B1B"/>
          <w:sz w:val="19"/>
        </w:rPr>
        <w:t>This is an in-person session at an Army facility. Assume NO reliable internet in the room. Your demo must work offline.</w:t>
      </w:r>
    </w:p>
    <w:p>
      <w:pPr>
        <w:pStyle w:val="ListBullet"/>
      </w:pPr>
      <w:r>
        <w:rPr>
          <w:b/>
        </w:rPr>
        <w:t xml:space="preserve">Bring-your-own-hardware: </w:t>
      </w:r>
      <w:r>
        <w:t>your own tested demo laptop plus HDMI and USB-C adapters.</w:t>
      </w:r>
    </w:p>
    <w:p>
      <w:pPr>
        <w:pStyle w:val="ListBullet"/>
      </w:pPr>
      <w:r>
        <w:rPr>
          <w:b/>
        </w:rPr>
        <w:t xml:space="preserve">Network: </w:t>
      </w:r>
      <w:r>
        <w:t>run your demo locally/offline or over your own cellular hotspot, and ALWAYS bring a full backup recording. Do not rely on the room network reaching your cloud.</w:t>
      </w:r>
    </w:p>
    <w:p>
      <w:pPr>
        <w:pStyle w:val="ListBullet"/>
      </w:pPr>
      <w:r>
        <w:rPr>
          <w:b/>
        </w:rPr>
        <w:t xml:space="preserve">On-site dry-run: </w:t>
      </w:r>
      <w:r>
        <w:t>arrive 60 to 90 minutes early and test your demo on the actual room display before the customer arrives.</w:t>
      </w:r>
    </w:p>
    <w:p>
      <w:pPr>
        <w:pStyle w:val="ListBullet"/>
      </w:pPr>
      <w:r>
        <w:rPr>
          <w:b/>
        </w:rPr>
        <w:t xml:space="preserve">Time box is hard: </w:t>
      </w:r>
      <w:r>
        <w:t>60 minutes. The 22CT lead keeps time. Practice to fit.</w:t>
      </w:r>
    </w:p>
    <w:p>
      <w:pPr>
        <w:pStyle w:val="ListBullet"/>
      </w:pPr>
      <w:r>
        <w:rPr>
          <w:b/>
        </w:rPr>
        <w:t xml:space="preserve">Q&amp;A handoff: </w:t>
      </w:r>
      <w:r>
        <w:t>answer your-layer technical questions; hand integration, provenance, contract, and cross-layer questions to the 22CT lead.</w:t>
      </w:r>
    </w:p>
    <w:p>
      <w:pPr>
        <w:pStyle w:val="ListBullet"/>
      </w:pPr>
      <w:r>
        <w:rPr>
          <w:b/>
        </w:rPr>
        <w:t xml:space="preserve">Honesty boundary: </w:t>
      </w:r>
      <w:r>
        <w:t>label anything not in your current build as roadmap, out loud. Do not present roadmap as fielded.</w:t>
      </w:r>
    </w:p>
    <w:p>
      <w:pPr>
        <w:pStyle w:val="Heading1"/>
      </w:pPr>
      <w:r>
        <w:rPr>
          <w:color w:val="1F3864"/>
        </w:rPr>
        <w:t>8. What success looks like</w:t>
      </w:r>
    </w:p>
    <w:p>
      <w:r>
        <w:rPr>
          <w:b w:val="0"/>
          <w:i w:val="0"/>
        </w:rPr>
        <w:t>At the end, the room believes they saw one coherent platform, every layer live and measured, under one vocabulary, delivered by one accountable prime, with nothing left to doubt. That is the standard.</w:t>
      </w:r>
    </w:p>
    <w:p>
      <w:r>
        <w:rPr>
          <w:b w:val="0"/>
          <w:i w:val="0"/>
        </w:rPr>
      </w:r>
    </w:p>
    <w:p>
      <w:r>
        <w:rPr>
          <w:b w:val="0"/>
          <w:i/>
          <w:color w:val="555F6B"/>
          <w:sz w:val="18"/>
        </w:rPr>
        <w:t>Prepared by 22nd Century for partner coordination. Internal to the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