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Presenter Briefing</w:t>
      </w:r>
    </w:p>
    <w:p>
      <w:pPr>
        <w:jc w:val="center"/>
      </w:pPr>
      <w:r>
        <w:rPr>
          <w:color w:val="2E75B6"/>
          <w:sz w:val="23"/>
        </w:rPr>
        <w:t>Four-Layer Working Session  |  For every presenter on the 22nd Century team</w:t>
      </w:r>
    </w:p>
    <w:p>
      <w:pPr>
        <w:jc w:val="center"/>
      </w:pPr>
      <w:r>
        <w:rPr>
          <w:b/>
          <w:color w:val="A61B1B"/>
          <w:sz w:val="19"/>
        </w:rPr>
        <w:t>Please read before the session. The customer sees one company, one platform.</w:t>
      </w:r>
    </w:p>
    <w:p>
      <w:pPr>
        <w:pStyle w:val="Heading1"/>
      </w:pPr>
      <w:r>
        <w:rPr>
          <w:color w:val="1F3864"/>
        </w:rPr>
        <w:t>1. The mission</w:t>
      </w:r>
    </w:p>
    <w:p>
      <w:r>
        <w:rPr>
          <w:b w:val="0"/>
          <w:i w:val="0"/>
        </w:rPr>
        <w:t>One session, one platform. Everyone presents as 22nd Century. The customer experiences a single integrated four-layer platform (V-Intelligence). The session lead runs the open, the transitions, and the close. Your job is to make your layer land as a seamless part of that one platform.</w:t>
      </w:r>
    </w:p>
    <w:p>
      <w:pPr>
        <w:pStyle w:val="Heading1"/>
      </w:pPr>
      <w:r>
        <w:rPr>
          <w:color w:val="1F3864"/>
        </w:rPr>
        <w:t>2. The audience (and why candor is non-negotiable)</w:t>
      </w:r>
    </w:p>
    <w:p>
      <w:pPr>
        <w:pStyle w:val="ListBullet"/>
      </w:pPr>
      <w:r>
        <w:rPr>
          <w:b/>
        </w:rPr>
        <w:t xml:space="preserve">Dr. Judy Esquibel </w:t>
      </w:r>
      <w:r>
        <w:t>- Senior Cyber Advisor, U.S. Army Cyber Command (ARCYBER); PhD; critical-infrastructure exercise lead. Deeply technical. She will probe detection fidelity and rewards candor; she detects overclaim instantly.</w:t>
      </w:r>
    </w:p>
    <w:p>
      <w:pPr>
        <w:pStyle w:val="ListBullet"/>
      </w:pPr>
      <w:r>
        <w:rPr>
          <w:b/>
        </w:rPr>
        <w:t xml:space="preserve">LTC Micah DiGrezio </w:t>
      </w:r>
      <w:r>
        <w:t>- Army acquisition (PM Cyber &amp; Space). He judges whether this can be bought, integrated, and fielded. He will ask about data, footprint, and sustainment.</w:t>
      </w:r>
    </w:p>
    <w:p>
      <w:pPr>
        <w:pStyle w:val="ListBullet"/>
      </w:pPr>
      <w:r>
        <w:rPr>
          <w:b/>
        </w:rPr>
        <w:t xml:space="preserve">Kellsie Herrmann </w:t>
      </w:r>
      <w:r>
        <w:t>- Army cyber/technology policy. She judges strategic significance and authorities. Keep the math light for her.</w:t>
      </w:r>
    </w:p>
    <w:p>
      <w:pPr>
        <w:ind w:left="288"/>
      </w:pPr>
      <w:r>
        <w:rPr>
          <w:b/>
          <w:color w:val="A61B1B"/>
          <w:sz w:val="19"/>
        </w:rPr>
        <w:t>One overclaim from any presenter burns the whole team's credibility with this room. When in doubt, under-claim and defer to the session lead.</w:t>
      </w:r>
    </w:p>
    <w:p>
      <w:pPr>
        <w:pStyle w:val="Heading1"/>
      </w:pPr>
      <w:r>
        <w:rPr>
          <w:color w:val="1F3864"/>
        </w:rPr>
        <w:t>3. Brand and vocabulary rules</w:t>
      </w:r>
    </w:p>
    <w:p>
      <w:pPr>
        <w:pStyle w:val="ListBullet"/>
      </w:pPr>
      <w:r>
        <w:rPr>
          <w:b/>
        </w:rPr>
        <w:t xml:space="preserve">Present as 22nd Century: </w:t>
      </w:r>
      <w:r>
        <w:t>your layer is "our Layer 1" or "our Layer 3" of the one platform.</w:t>
      </w:r>
    </w:p>
    <w:p>
      <w:pPr>
        <w:pStyle w:val="ListBullet"/>
      </w:pPr>
      <w:r>
        <w:rPr>
          <w:b/>
        </w:rPr>
        <w:t xml:space="preserve">Use MITRE ATT&amp;CK </w:t>
      </w:r>
      <w:r>
        <w:t>as the shared vocabulary, and map your layer to the shared Volt Typhoon / Salt Typhoon scenario.</w:t>
      </w:r>
    </w:p>
    <w:p>
      <w:pPr>
        <w:pStyle w:val="ListBullet"/>
      </w:pPr>
      <w:r>
        <w:rPr>
          <w:b/>
        </w:rPr>
        <w:t xml:space="preserve">No pricing, no competitive cross-talk, </w:t>
      </w:r>
      <w:r>
        <w:t>no internal positioning.</w:t>
      </w:r>
    </w:p>
    <w:p>
      <w:pPr>
        <w:pStyle w:val="ListBullet"/>
      </w:pPr>
      <w:r>
        <w:rPr>
          <w:b/>
        </w:rPr>
        <w:t xml:space="preserve">Overall-platform, integration, and acquisition questions </w:t>
      </w:r>
      <w:r>
        <w:t>go to the session lead. Answer your-layer technical questions yourself.</w:t>
      </w:r>
    </w:p>
    <w:p>
      <w:pPr>
        <w:pStyle w:val="Heading1"/>
      </w:pPr>
      <w:r>
        <w:rPr>
          <w:color w:val="1F3864"/>
        </w:rPr>
        <w:t>4. Your block: 60 minutes, fixed format</w:t>
      </w:r>
    </w:p>
    <w:p>
      <w:r>
        <w:rPr>
          <w:b/>
          <w:i w:val="0"/>
        </w:rPr>
        <w:t>Every layer uses the identical structure so the platform feels like one product: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  <w:sz w:val="17"/>
              </w:rPr>
              <w:t>Segment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7"/>
              </w:rPr>
              <w:t>What to cover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Theory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The threat at your layer, what incumbents do, and the core shortcoming. Map to MITRE.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Live demo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 min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Run it live against the shared scenario. No slideware-only. Have a backup recording.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Results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The measured result: what you caught that incumbents miss, with real numbers.</w:t>
            </w:r>
          </w:p>
        </w:tc>
      </w:tr>
    </w:tbl>
    <w:p/>
    <w:p>
      <w:pPr>
        <w:pStyle w:val="ListBullet"/>
      </w:pPr>
      <w:r>
        <w:rPr>
          <w:b/>
        </w:rPr>
        <w:t xml:space="preserve">Results frame (use this exact arc): </w:t>
      </w:r>
      <w:r>
        <w:t>threat scenario -&gt; what incumbents miss -&gt; live demo -&gt; measured result.</w:t>
      </w:r>
    </w:p>
    <w:p>
      <w:pPr>
        <w:pStyle w:val="Heading1"/>
      </w:pPr>
      <w:r>
        <w:rPr>
          <w:color w:val="1F3864"/>
        </w:rPr>
        <w:t>5. Your layer and your scenario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7"/>
              </w:rPr>
              <w:t>Map your demo to this scenario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Layer 1 - Preemptive Network Assurance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Prove Volt Typhoon's misconfigured-edge / cross-VLAN entry path is closed before traffic flows. Formal proof over the full config space, not sampling.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Layer 2 - Behavioral digital twin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Catch the valid-account, living-off-the-land behavior once inside. The four-attacker demo and the 8.1% derivation.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Layer 3 - API, Data &amp; Agentic-AI Runtime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Catch Salt Typhoon's API and data collection and exfiltration, plus agent/bot abuse, at runtime. Authenticated-abuse and business-logic attacks that signatures miss.</w:t>
            </w:r>
          </w:p>
        </w:tc>
      </w:tr>
    </w:tbl>
    <w:p/>
    <w:p>
      <w:pPr>
        <w:pStyle w:val="Heading1"/>
      </w:pPr>
      <w:r>
        <w:rPr>
          <w:color w:val="1F3864"/>
        </w:rPr>
        <w:t>6. Federal-readiness you must each cover</w:t>
      </w:r>
    </w:p>
    <w:p>
      <w:r>
        <w:rPr>
          <w:b w:val="0"/>
          <w:i w:val="0"/>
        </w:rPr>
        <w:t>DiGrezio judges fieldability across the whole stack, so every layer must speak to:</w:t>
      </w:r>
    </w:p>
    <w:p>
      <w:pPr>
        <w:pStyle w:val="ListBullet"/>
      </w:pPr>
      <w:r>
        <w:rPr>
          <w:b/>
        </w:rPr>
        <w:t xml:space="preserve">Data / telemetry: </w:t>
      </w:r>
      <w:r>
        <w:t>what your layer needs, ideally from telemetry already collected.</w:t>
      </w:r>
    </w:p>
    <w:p>
      <w:pPr>
        <w:pStyle w:val="ListBullet"/>
      </w:pPr>
      <w:r>
        <w:rPr>
          <w:b/>
        </w:rPr>
        <w:t xml:space="preserve">Footprint and accreditation: </w:t>
      </w:r>
      <w:r>
        <w:t>containerized; deployable across IL5, IL6, and JWICS; air-gap / offline option.</w:t>
      </w:r>
    </w:p>
    <w:p>
      <w:pPr>
        <w:pStyle w:val="ListBullet"/>
      </w:pPr>
      <w:r>
        <w:rPr>
          <w:b/>
        </w:rPr>
        <w:t xml:space="preserve">Integration: </w:t>
      </w:r>
      <w:r>
        <w:t>how your layer fits an existing Army cyber stack without rip-and-replace.</w:t>
      </w:r>
    </w:p>
    <w:p>
      <w:pPr>
        <w:pStyle w:val="ListBullet"/>
      </w:pPr>
      <w:r>
        <w:rPr>
          <w:b/>
        </w:rPr>
        <w:t xml:space="preserve">Sustainment: </w:t>
      </w:r>
      <w:r>
        <w:t>how updates and new threat coverage are delivered.</w:t>
      </w:r>
    </w:p>
    <w:p>
      <w:pPr>
        <w:pStyle w:val="Heading1"/>
      </w:pPr>
      <w:r>
        <w:rPr>
          <w:color w:val="1F3864"/>
        </w:rPr>
        <w:t>7. Logistics and discipline (IN-PERSON)</w:t>
      </w:r>
    </w:p>
    <w:p>
      <w:pPr>
        <w:ind w:left="288"/>
      </w:pPr>
      <w:r>
        <w:rPr>
          <w:b/>
          <w:color w:val="A61B1B"/>
          <w:sz w:val="19"/>
        </w:rPr>
        <w:t>In-person at an Army facility. Assume NO reliable internet in the room. Your demo must work offline.</w:t>
      </w:r>
    </w:p>
    <w:p>
      <w:pPr>
        <w:pStyle w:val="ListBullet"/>
      </w:pPr>
      <w:r>
        <w:rPr>
          <w:b/>
        </w:rPr>
        <w:t xml:space="preserve">Bring-your-own-hardware: </w:t>
      </w:r>
      <w:r>
        <w:t>your own tested demo laptop plus HDMI and USB-C adapters.</w:t>
      </w:r>
    </w:p>
    <w:p>
      <w:pPr>
        <w:pStyle w:val="ListBullet"/>
      </w:pPr>
      <w:r>
        <w:rPr>
          <w:b/>
        </w:rPr>
        <w:t xml:space="preserve">Network: </w:t>
      </w:r>
      <w:r>
        <w:t>run your demo locally/offline or over your own cellular hotspot, and ALWAYS bring a full backup recording.</w:t>
      </w:r>
    </w:p>
    <w:p>
      <w:pPr>
        <w:pStyle w:val="ListBullet"/>
      </w:pPr>
      <w:r>
        <w:rPr>
          <w:b/>
        </w:rPr>
        <w:t xml:space="preserve">On-site dry-run: </w:t>
      </w:r>
      <w:r>
        <w:t>arrive 60 to 90 minutes early and test your demo on the actual room display before the customer arrives.</w:t>
      </w:r>
    </w:p>
    <w:p>
      <w:pPr>
        <w:pStyle w:val="ListBullet"/>
      </w:pPr>
      <w:r>
        <w:rPr>
          <w:b/>
        </w:rPr>
        <w:t xml:space="preserve">Time box is hard: </w:t>
      </w:r>
      <w:r>
        <w:t>60 minutes. The session lead keeps time. Practice to fit.</w:t>
      </w:r>
    </w:p>
    <w:p>
      <w:pPr>
        <w:pStyle w:val="ListBullet"/>
      </w:pPr>
      <w:r>
        <w:rPr>
          <w:b/>
        </w:rPr>
        <w:t xml:space="preserve">Honesty boundary: </w:t>
      </w:r>
      <w:r>
        <w:t>label anything not in your current build as roadmap, out loud. Do not present roadmap as fielded.</w:t>
      </w:r>
    </w:p>
    <w:p>
      <w:pPr>
        <w:pStyle w:val="Heading1"/>
      </w:pPr>
      <w:r>
        <w:rPr>
          <w:color w:val="1F3864"/>
        </w:rPr>
        <w:t>8. What success looks like</w:t>
      </w:r>
    </w:p>
    <w:p>
      <w:r>
        <w:rPr>
          <w:b w:val="0"/>
          <w:i w:val="0"/>
        </w:rPr>
        <w:t>At the end, the room believes they saw one coherent platform, every layer live and measured, under one vocabulary, from one vendor, with nothing left to doubt. That is the standard.</w:t>
      </w:r>
    </w:p>
    <w:p>
      <w:r>
        <w:rPr>
          <w:b w:val="0"/>
          <w:i w:val="0"/>
        </w:rPr>
      </w:r>
    </w:p>
    <w:p>
      <w:r>
        <w:rPr>
          <w:b w:val="0"/>
          <w:i/>
          <w:color w:val="555F6B"/>
          <w:sz w:val="18"/>
        </w:rPr>
        <w:t>Internal team preparation document. One company, one platform. Not for distribution.</w:t>
      </w:r>
    </w:p>
    <w:p>
      <w:r>
        <w:br w:type="page"/>
      </w:r>
    </w:p>
    <w:p>
      <w:pPr>
        <w:pStyle w:val="Heading1"/>
      </w:pPr>
      <w:r>
        <w:rPr>
          <w:color w:val="1F3864"/>
        </w:rPr>
        <w:t>Glossary of Terms and Acronyms</w:t>
      </w:r>
    </w:p>
    <w:p>
      <w:r>
        <w:rPr>
          <w:i/>
          <w:color w:val="555F6B"/>
          <w:sz w:val="19"/>
        </w:rPr>
        <w:t>Plain-language expansions of the acronyms used in this document and the wider session materials.</w:t>
      </w:r>
    </w:p>
    <w:p>
      <w:pPr>
        <w:spacing w:before="120" w:after="40"/>
      </w:pPr>
      <w:r>
        <w:rPr>
          <w:b/>
          <w:color w:val="2E75B6"/>
          <w:sz w:val="22"/>
        </w:rPr>
        <w:t>Network and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3240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ABAC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Attribute-Based Access Control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Authorization from user/resource attributes and policy, not fixed roles.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C2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Command and Control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Attacker infrastructure that directs compromised hosts.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CASB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Cloud Access Security Broker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Policy enforcement point between users and cloud services (part of SASE).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DGA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Domain Generation Algorithm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Malware technique that auto-generates many domains to reach C2.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DNS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Domain Name System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Resolves names to IP addresses; abused for tunneling and exfiltration.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IdP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Identity Provider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Authenticates users and issues identity tokens (e.g., Okta, Microsoft Entra ID).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IPS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Intrusion Prevention System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Inline sensor that detects and blocks known malicious traffic.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NGFW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Next-Generation Firewall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Firewall adding application awareness, IPS, and deep packet inspection.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RDP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Remote Desktop Protocol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Windows remote-desktop protocol; common lateral-movement path.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SASE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Secure Access Service Edge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Cloud-delivered networking plus security (SD-WAN, ZTNA, SWG, CASB).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SD-WAN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Software-Defined Wide Area Network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Policy-driven WAN connectivity (part of SASE).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SMB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Server Message Block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Windows file/printer-sharing protocol; common lateral-movement path.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SWG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Secure Web Gateway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Filters web traffic and enforces policy (part of SASE).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VLAN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Virtual Local Area Network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Logical segmentation of a physical network.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WAF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Web Application Firewall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Filters and monitors HTTP traffic to protect web apps and APIs.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WinRM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Windows Remote Management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Windows remote-management protocol; lateral-movement path.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ZTNA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Zero Trust Network Access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Identity-aware, least-privilege application access (part of SASE).</w:t>
            </w:r>
          </w:p>
        </w:tc>
      </w:tr>
    </w:tbl>
    <w:p>
      <w:pPr>
        <w:spacing w:before="120" w:after="40"/>
      </w:pPr>
      <w:r>
        <w:rPr>
          <w:b/>
          <w:color w:val="2E75B6"/>
          <w:sz w:val="22"/>
        </w:rPr>
        <w:t>Detection and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3240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ATT&amp;CK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MITRE ATT&amp;CK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MITRE's knowledge base of adversary tactics and techniques.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ATLAS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MITRE ATLAS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MITRE's adversarial-threat framework for AI/ML systems.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BEI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Behavioral Entity Intelligence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22nd Century's behavioral-twin detection approach (the Layer 2 product).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CUSUM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Cumulative Sum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Change-point method that accumulates small drifts to detect slow, sustained change.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iForest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Isolation Forest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Classical tree-based anomaly-detection algorithm (a baseline here).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LOF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Local Outlier Factor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Classical density-based anomaly-detection algorithm (a baseline here).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LOTL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Living off the Land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Attacks using built-in OS tools only, with no malware deployed.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OC-SVM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One-Class Support Vector Machine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Classical anomaly-detection algorithm (a baseline here).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SOC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Security Operations Center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The team and facility that monitor and respond to threats.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T-codes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MITRE technique IDs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Numbered ATT&amp;CK techniques; e.g., T1078 = Valid Accounts.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UEBA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User and Entity Behavior Analytics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Detecting threats by modeling normal behavior and flagging deviation.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z-score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Standard score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Number of standard deviations a value sits from its group mean.</w:t>
            </w:r>
          </w:p>
        </w:tc>
      </w:tr>
    </w:tbl>
    <w:p>
      <w:pPr>
        <w:spacing w:before="120" w:after="40"/>
      </w:pPr>
      <w:r>
        <w:rPr>
          <w:b/>
          <w:color w:val="2E75B6"/>
          <w:sz w:val="22"/>
        </w:rPr>
        <w:t>Application, API and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3240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API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Application Programming Interface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Interface through which systems and AI agents exchange data.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ASPM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Application Security Posture Management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Aggregates and prioritizes application-security findings.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BOLA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Broken Object Level Authorization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Top API flaw: accessing another user's objects through the API.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HMAC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Hash-based Message Authentication Code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Keyed hash used to make records tamper-evident.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MFA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Multi-Factor Authentication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Authentication requiring more than one independent factor.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PII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Personally Identifiable Information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Data that identifies an individual; not held in the behavioral vector.</w:t>
            </w:r>
          </w:p>
        </w:tc>
      </w:tr>
    </w:tbl>
    <w:p>
      <w:pPr>
        <w:spacing w:before="120" w:after="40"/>
      </w:pPr>
      <w:r>
        <w:rPr>
          <w:b/>
          <w:color w:val="2E75B6"/>
          <w:sz w:val="22"/>
        </w:rPr>
        <w:t>Code and Supply 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3240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CI/CD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Continuous Integration / Continuous Delivery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Automated build, test, and deploy pipeline.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CVE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Common Vulnerabilities and Exposures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Public catalog of known, disclosed vulnerabilities.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DAST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Dynamic Application Security Testing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Tests a running application for vulnerabilities.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IaC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Infrastructure as Code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Provisioning infrastructure via machine-readable definition files.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RCE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Remote Code Execution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Vulnerability allowing an attacker to run code remotely.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SAST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Static Application Security Testing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Analyzes source code for vulnerabilities.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SCA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Software Composition Analysis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Identifies vulnerable open-source and third-party dependencies.</w:t>
            </w:r>
          </w:p>
        </w:tc>
      </w:tr>
    </w:tbl>
    <w:p>
      <w:pPr>
        <w:spacing w:before="120" w:after="40"/>
      </w:pPr>
      <w:r>
        <w:rPr>
          <w:b/>
          <w:color w:val="2E75B6"/>
          <w:sz w:val="22"/>
        </w:rPr>
        <w:t>Federal and Acquisition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3240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ARCYBER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U.S. Army Cyber Command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The Army's cyber operations command.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DFARS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Defense Federal Acquisition Regulation Supplement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DoD supplement to federal acquisition rules.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FAR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Federal Acquisition Regulation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Primary U.S. federal acquisition regulation.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IL5 / IL6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Impact Level 5 / 6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DoD cloud security levels (IL5 CUI/NSS; IL6 up to SECRET).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JWICS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Joint Worldwide Intelligence Communications System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Top-Secret/SCI classified network.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NDAA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National Defense Authorization Act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Annual U.S. defense policy and funding law.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NIST SP 800-53 / 800-161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NIST Special Publications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Security-control and supply-chain-risk-management catalogs.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OTA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Other Transaction Authority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Flexible non-FAR mechanism for prototypes and pilots.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PCA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Principal Cyber Advisor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Senior cyber advisor to a Service Secretary (Brandon Pugh, for the Army).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PEO IEW&amp;S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Program Executive Office, Intelligence Electronic Warfare and Sensors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Army acquisition organization.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PM C&amp;S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Project Manager, Cyber and Space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Army acquisition office (LTC DiGrezio's seat).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PoR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Program of Record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 formally funded, sustained acquisition program.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SCRM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Supply Chain Risk Management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Managing risk across the supplier base.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TRL</w:t>
            </w:r>
          </w:p>
        </w:tc>
        <w:tc>
          <w:tcPr>
            <w:tcW w:type="dxa" w:w="3240"/>
          </w:tcPr>
          <w:p>
            <w:r/>
            <w:r>
              <w:rPr>
                <w:sz w:val="17"/>
              </w:rPr>
              <w:t>Technology Readiness Level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 1-to-9 scale of technology maturity.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