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0"/>
        </w:rPr>
        <w:t>V-Intelligence UEBA</w:t>
      </w:r>
    </w:p>
    <w:p>
      <w:pPr>
        <w:jc w:val="center"/>
      </w:pPr>
      <w:r>
        <w:rPr>
          <w:color w:val="2E75B6"/>
          <w:sz w:val="24"/>
        </w:rPr>
        <w:t>Behavioral Detection for Living-off-the-Land and Valid-Account Threats</w:t>
      </w:r>
    </w:p>
    <w:p>
      <w:pPr>
        <w:jc w:val="center"/>
      </w:pPr>
      <w:r>
        <w:rPr>
          <w:sz w:val="19"/>
        </w:rPr>
        <w:t>Ravindra Shukla  |  V-Intelligence  |  Technical Summary</w:t>
      </w:r>
    </w:p>
    <w:p>
      <w:pPr>
        <w:pStyle w:val="Heading2"/>
      </w:pPr>
      <w:r>
        <w:rPr>
          <w:color w:val="2E75B6"/>
        </w:rPr>
        <w:t>The gap</w:t>
      </w:r>
    </w:p>
    <w:p>
      <w:r>
        <w:rPr>
          <w:b w:val="0"/>
          <w:i w:val="0"/>
        </w:rPr>
        <w:t>Apex adversaries (Volt Typhoon, Salt Typhoon) are already inside critical infrastructure using valid credentials and living-off-the-land techniques. Every individual event looks legitimate, so threshold-based UEBA never fires, signatures never match, and one attacker is fragmented across many identity systems. These campaigns dwell for years below every alert.</w:t>
      </w:r>
    </w:p>
    <w:p>
      <w:pPr>
        <w:pStyle w:val="Heading2"/>
      </w:pPr>
      <w:r>
        <w:rPr>
          <w:color w:val="2E75B6"/>
        </w:rPr>
        <w:t>The approach</w:t>
      </w:r>
    </w:p>
    <w:p>
      <w:pPr>
        <w:pStyle w:val="ListBullet"/>
      </w:pPr>
      <w:r>
        <w:rPr>
          <w:b/>
        </w:rPr>
        <w:t xml:space="preserve">Behavior as meaning. </w:t>
      </w:r>
      <w:r>
        <w:t>Each entity's activity is read as meaning in a high-dimensional behavioral space, so two identical counts with different intent separate, where a scalar feature would see them as the same.</w:t>
      </w:r>
    </w:p>
    <w:p>
      <w:pPr>
        <w:pStyle w:val="ListBullet"/>
      </w:pPr>
      <w:r>
        <w:rPr>
          <w:b/>
        </w:rPr>
        <w:t xml:space="preserve">Trajectory and direction. </w:t>
      </w:r>
      <w:r>
        <w:t>The system tracks where an entity is heading over time, not just where it stands, and names that direction in MITRE ATT&amp;CK terms (for example, drifting toward lateral movement) rather than a bare anomaly percentage.</w:t>
      </w:r>
    </w:p>
    <w:p>
      <w:pPr>
        <w:pStyle w:val="ListBullet"/>
      </w:pPr>
      <w:r>
        <w:rPr>
          <w:b/>
        </w:rPr>
        <w:t xml:space="preserve">Identity fusion and multi-front scoring. </w:t>
      </w:r>
      <w:r>
        <w:t>Fragmented identities are unified into one entity, and independent behavioral fronts fuse into one ranked, explainable verdict, so an attacker extreme on several fronts at once separates from any normal user extreme on one by chance.</w:t>
      </w:r>
    </w:p>
    <w:p>
      <w:pPr>
        <w:pStyle w:val="ListBullet"/>
      </w:pPr>
      <w:r>
        <w:rPr>
          <w:b/>
        </w:rPr>
        <w:t xml:space="preserve">Same logs you already collect. </w:t>
      </w:r>
      <w:r>
        <w:t>Sign-in, network, endpoint, file, and identity telemetry, read as living behavioral entities. No new data sources required.</w:t>
      </w:r>
    </w:p>
    <w:p>
      <w:pPr>
        <w:pStyle w:val="Heading2"/>
      </w:pPr>
      <w:r>
        <w:rPr>
          <w:color w:val="2E75B6"/>
        </w:rPr>
        <w:t>The proof (blind test)</w:t>
      </w:r>
    </w:p>
    <w:p>
      <w:r>
        <w:rPr>
          <w:b w:val="0"/>
          <w:i w:val="0"/>
        </w:rPr>
        <w:t>On a synthetic population of 250 entities over 485 days (about 14 million events across five log sources), four nation-state-style campaigns were embedded with full ground truth: an 8-month insider, a 180-day slow APT, a Volt Typhoon-style living-off-the-land campaign, and a Salt Typhoon-style telecom campaign.</w:t>
      </w:r>
    </w:p>
    <w:p>
      <w:pPr>
        <w:pStyle w:val="ListBullet"/>
      </w:pPr>
      <w:r>
        <w:rPr>
          <w:b/>
        </w:rPr>
        <w:t xml:space="preserve">Result: </w:t>
      </w:r>
      <w:r>
        <w:t>the multi-front threat-profile detector (the primary detector) caught all four by named known-bad technique (C2-beacon, DGA, LOTL-process, cohort-rare access, recon-fanout, insider-collection) at zero false positives; embedding composite scoring also surfaced all four (ranks 1, 2, 7, and 24 of 250) at an 8.1 percent false-positive operating point, where Isolation Forest, One-Class SVM, and Local Outlier Factor each caught zero of four and a z-score method caught one of four.</w:t>
      </w:r>
    </w:p>
    <w:p>
      <w:pPr>
        <w:pStyle w:val="ListBullet"/>
      </w:pPr>
      <w:r>
        <w:rPr>
          <w:b/>
        </w:rPr>
        <w:t xml:space="preserve">Explainable: </w:t>
      </w:r>
      <w:r>
        <w:t>every alert names the behavior, maps it to a MITRE technique, and is delivered as a risk-ranked list rather than a flood of threshold alarms.</w:t>
      </w:r>
    </w:p>
    <w:p>
      <w:pPr>
        <w:pStyle w:val="Heading2"/>
      </w:pPr>
      <w:r>
        <w:rPr>
          <w:color w:val="2E75B6"/>
        </w:rPr>
        <w:t>Deployability</w:t>
      </w:r>
    </w:p>
    <w:p>
      <w:pPr>
        <w:pStyle w:val="ListBullet"/>
      </w:pPr>
      <w:r>
        <w:rPr>
          <w:b/>
        </w:rPr>
        <w:t xml:space="preserve">Federal-ready. </w:t>
      </w:r>
      <w:r>
        <w:t>Containerized; deployable across IL5, IL6, and JWICS; a local-model option for air-gapped enclaves; no personally identifiable information held in the behavioral representation.</w:t>
      </w:r>
    </w:p>
    <w:p>
      <w:pPr>
        <w:pStyle w:val="ListBullet"/>
      </w:pPr>
      <w:r>
        <w:rPr>
          <w:b/>
        </w:rPr>
        <w:t xml:space="preserve">Proven foundation. </w:t>
      </w:r>
      <w:r>
        <w:t>The same behavioral trajectory engine is fielded for supply-chain decision intelligence at the Defense Logistics Agency (Entity Digital Model), independent evidence that the method generalizes.</w:t>
      </w:r>
    </w:p>
    <w:p>
      <w:pPr>
        <w:pStyle w:val="Heading2"/>
      </w:pPr>
      <w:r>
        <w:rPr>
          <w:color w:val="2E75B6"/>
        </w:rPr>
        <w:t>Framing and next step</w:t>
      </w:r>
    </w:p>
    <w:p>
      <w:r>
        <w:rPr>
          <w:b w:val="0"/>
          <w:i w:val="0"/>
        </w:rPr>
        <w:t>These are controlled, synthetic-data proof-of-concept results, indicative rather than a guarantee of field performance; the operating point is a reporting benchmark to be re-validated. The recommended next step is a bounded pilot on representative operational telemetry, run in advisory, side-by-side mode under human control.</w:t>
      </w:r>
    </w:p>
    <w:p>
      <w:r>
        <w:rPr>
          <w:i/>
          <w:color w:val="555F6B"/>
          <w:sz w:val="17"/>
        </w:rPr>
        <w:t>Proprietary note: the internal representations, scoring logic, formulas, and dimensions of V-Intelligence are proprietary and are summarized here at the capability level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