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Working Session Run-of-Show</w:t>
      </w:r>
    </w:p>
    <w:p>
      <w:pPr>
        <w:jc w:val="center"/>
      </w:pPr>
      <w:r>
        <w:rPr>
          <w:color w:val="2E75B6"/>
          <w:sz w:val="23"/>
        </w:rPr>
        <w:t>22nd Century V-Intelligence Four-Layer Platform  |  Army Cyber: Esquibel - DiGrezio - Herrmann</w:t>
      </w:r>
    </w:p>
    <w:p>
      <w:pPr>
        <w:jc w:val="center"/>
      </w:pPr>
      <w:r>
        <w:rPr>
          <w:b/>
          <w:color w:val="A61B1B"/>
          <w:sz w:val="19"/>
        </w:rPr>
        <w:t>INTERNAL prep. One company, one platform, every layer live.</w:t>
      </w:r>
    </w:p>
    <w:p>
      <w:pPr>
        <w:pStyle w:val="Heading1"/>
      </w:pPr>
      <w:r>
        <w:rPr>
          <w:color w:val="1F3864"/>
        </w:rPr>
        <w:t>1. The platform</w:t>
      </w:r>
    </w:p>
    <w:p>
      <w:r>
        <w:rPr>
          <w:b w:val="0"/>
          <w:i w:val="0"/>
        </w:rPr>
        <w:t>The customer sees one integrated offering: the 22nd Century V-Intelligence four-layer platform, covering the full attack lifecycle under one MITRE vocabulary. The behavioral digital twin (Layer 2) is the centerpiece they asked for. 22nd Century owns the open, every transition, and the close.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7"/>
              </w:rPr>
              <w:t>Layer</w:t>
            </w:r>
          </w:p>
        </w:tc>
        <w:tc>
          <w:tcPr>
            <w:tcW w:type="dxa" w:w="4320"/>
          </w:tcPr>
          <w:p>
            <w:r/>
            <w:r>
              <w:rPr>
                <w:b/>
                <w:sz w:val="17"/>
              </w:rPr>
              <w:t>Capability</w:t>
            </w:r>
          </w:p>
        </w:tc>
        <w:tc>
          <w:tcPr>
            <w:tcW w:type="dxa" w:w="1440"/>
          </w:tcPr>
          <w:p>
            <w:r/>
            <w:r>
              <w:rPr>
                <w:b/>
                <w:sz w:val="17"/>
              </w:rPr>
              <w:t>Maturity</w:t>
            </w:r>
          </w:p>
        </w:tc>
      </w:tr>
      <w:tr>
        <w:tc>
          <w:tcPr>
            <w:tcW w:type="dxa" w:w="2880"/>
          </w:tcPr>
          <w:p>
            <w:r/>
            <w:r>
              <w:rPr>
                <w:sz w:val="18"/>
              </w:rPr>
              <w:t>1 - Preemptive Network Assurance</w:t>
            </w:r>
          </w:p>
        </w:tc>
        <w:tc>
          <w:tcPr>
            <w:tcW w:type="dxa" w:w="4320"/>
          </w:tcPr>
          <w:p>
            <w:r/>
            <w:r>
              <w:rPr>
                <w:sz w:val="18"/>
              </w:rPr>
              <w:t>Formal-proof network assurance over the full config space</w:t>
            </w:r>
          </w:p>
        </w:tc>
        <w:tc>
          <w:tcPr>
            <w:tcW w:type="dxa" w:w="1440"/>
          </w:tcPr>
          <w:p>
            <w:r/>
            <w:r>
              <w:rPr>
                <w:sz w:val="18"/>
              </w:rPr>
              <w:t>Live</w:t>
            </w:r>
          </w:p>
        </w:tc>
      </w:tr>
      <w:tr>
        <w:tc>
          <w:tcPr>
            <w:tcW w:type="dxa" w:w="2880"/>
          </w:tcPr>
          <w:p>
            <w:r/>
            <w:r>
              <w:rPr>
                <w:sz w:val="18"/>
              </w:rPr>
              <w:t>2 - Behavioral Entity Intelligence</w:t>
            </w:r>
          </w:p>
        </w:tc>
        <w:tc>
          <w:tcPr>
            <w:tcW w:type="dxa" w:w="4320"/>
          </w:tcPr>
          <w:p>
            <w:r/>
            <w:r>
              <w:rPr>
                <w:sz w:val="18"/>
              </w:rPr>
              <w:t>The behavioral digital twin (our core IP)</w:t>
            </w:r>
          </w:p>
        </w:tc>
        <w:tc>
          <w:tcPr>
            <w:tcW w:type="dxa" w:w="1440"/>
          </w:tcPr>
          <w:p>
            <w:r/>
            <w:r>
              <w:rPr>
                <w:sz w:val="18"/>
              </w:rPr>
              <w:t>Live</w:t>
            </w:r>
          </w:p>
        </w:tc>
      </w:tr>
      <w:tr>
        <w:tc>
          <w:tcPr>
            <w:tcW w:type="dxa" w:w="2880"/>
          </w:tcPr>
          <w:p>
            <w:r/>
            <w:r>
              <w:rPr>
                <w:sz w:val="18"/>
              </w:rPr>
              <w:t>3 - Application, API &amp; Data Runtime</w:t>
            </w:r>
          </w:p>
        </w:tc>
        <w:tc>
          <w:tcPr>
            <w:tcW w:type="dxa" w:w="4320"/>
          </w:tcPr>
          <w:p>
            <w:r/>
            <w:r>
              <w:rPr>
                <w:sz w:val="18"/>
              </w:rPr>
              <w:t>API, data, and agentic-AI runtime protection</w:t>
            </w:r>
          </w:p>
        </w:tc>
        <w:tc>
          <w:tcPr>
            <w:tcW w:type="dxa" w:w="1440"/>
          </w:tcPr>
          <w:p>
            <w:r/>
            <w:r>
              <w:rPr>
                <w:sz w:val="18"/>
              </w:rPr>
              <w:t>Live</w:t>
            </w:r>
          </w:p>
        </w:tc>
      </w:tr>
      <w:tr>
        <w:tc>
          <w:tcPr>
            <w:tcW w:type="dxa" w:w="2880"/>
          </w:tcPr>
          <w:p>
            <w:r/>
            <w:r>
              <w:rPr>
                <w:sz w:val="18"/>
              </w:rPr>
              <w:t>4 - Code &amp; Supply-Chain</w:t>
            </w:r>
          </w:p>
        </w:tc>
        <w:tc>
          <w:tcPr>
            <w:tcW w:type="dxa" w:w="4320"/>
          </w:tcPr>
          <w:p>
            <w:r/>
            <w:r>
              <w:rPr>
                <w:sz w:val="18"/>
              </w:rPr>
              <w:t>Novel zero-day discovery pre-deploy</w:t>
            </w:r>
          </w:p>
        </w:tc>
        <w:tc>
          <w:tcPr>
            <w:tcW w:type="dxa" w:w="1440"/>
          </w:tcPr>
          <w:p>
            <w:r/>
            <w:r>
              <w:rPr>
                <w:sz w:val="18"/>
              </w:rPr>
              <w:t>In development</w:t>
            </w:r>
          </w:p>
        </w:tc>
      </w:tr>
    </w:tbl>
    <w:p/>
    <w:p>
      <w:pPr>
        <w:pStyle w:val="Heading1"/>
      </w:pPr>
      <w:r>
        <w:rPr>
          <w:color w:val="1F3864"/>
        </w:rPr>
        <w:t>2. Honest about maturity (say it out loud)</w:t>
      </w:r>
    </w:p>
    <w:p>
      <w:pPr>
        <w:pStyle w:val="ListBullet"/>
      </w:pPr>
      <w:r>
        <w:rPr>
          <w:b/>
        </w:rPr>
        <w:t xml:space="preserve">Layer 4 is in development. </w:t>
      </w:r>
      <w:r>
        <w:t>Present the approach, not a running product. Substantiate or drop the 2,000-zero-days figure.</w:t>
      </w:r>
    </w:p>
    <w:p>
      <w:pPr>
        <w:pStyle w:val="ListBullet"/>
      </w:pPr>
      <w:r>
        <w:rPr>
          <w:b/>
        </w:rPr>
        <w:t xml:space="preserve">Within Layer 2, </w:t>
      </w:r>
      <w:r>
        <w:t>the detection core runs live; identity fusion across systems, the versioned twin store, the behavioral graph, tamper-evident forensics, and automated response are roadmap.</w:t>
      </w:r>
    </w:p>
    <w:p>
      <w:pPr>
        <w:ind w:left="288"/>
      </w:pPr>
      <w:r>
        <w:rPr>
          <w:b/>
          <w:color w:val="A61B1B"/>
          <w:sz w:val="19"/>
        </w:rPr>
        <w:t>With ARCYBER (Esquibel) in the room, candor is the advantage. Label roadmap as roadmap, every time.</w:t>
      </w:r>
    </w:p>
    <w:p>
      <w:pPr>
        <w:pStyle w:val="Heading1"/>
      </w:pPr>
      <w:r>
        <w:rPr>
          <w:color w:val="1F3864"/>
        </w:rPr>
        <w:t>3. One vocabulary, one scenario, one format</w:t>
      </w:r>
    </w:p>
    <w:p>
      <w:pPr>
        <w:pStyle w:val="ListBullet"/>
      </w:pPr>
      <w:r>
        <w:rPr>
          <w:b/>
        </w:rPr>
        <w:t xml:space="preserve">One vocabulary: </w:t>
      </w:r>
      <w:r>
        <w:t>MITRE ATT&amp;CK across all four layers.</w:t>
      </w:r>
    </w:p>
    <w:p>
      <w:pPr>
        <w:pStyle w:val="ListBullet"/>
      </w:pPr>
      <w:r>
        <w:rPr>
          <w:b/>
        </w:rPr>
        <w:t xml:space="preserve">One scenario: </w:t>
      </w:r>
      <w:r>
        <w:t>the shared Volt Typhoon / Salt Typhoon narrative. Every layer maps to the SAME campaigns.</w:t>
      </w:r>
    </w:p>
    <w:p>
      <w:pPr>
        <w:pStyle w:val="ListBullet"/>
      </w:pPr>
      <w:r>
        <w:rPr>
          <w:b/>
        </w:rPr>
        <w:t xml:space="preserve">One results format (every layer identical): </w:t>
      </w:r>
      <w:r>
        <w:t>threat scenario -&gt; what incumbents miss -&gt; live demo -&gt; measured result.</w:t>
      </w:r>
    </w:p>
    <w:p>
      <w:pPr>
        <w:pStyle w:val="Heading1"/>
      </w:pPr>
      <w:r>
        <w:rPr>
          <w:color w:val="1F3864"/>
        </w:rPr>
        <w:t>4. Agenda (half-day, ~4.5h with discipline)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04"/>
          </w:tcPr>
          <w:p>
            <w:r/>
            <w:r>
              <w:rPr>
                <w:b/>
                <w:sz w:val="17"/>
              </w:rPr>
              <w:t>#</w:t>
            </w:r>
          </w:p>
        </w:tc>
        <w:tc>
          <w:tcPr>
            <w:tcW w:type="dxa" w:w="5184"/>
          </w:tcPr>
          <w:p>
            <w:r/>
            <w:r>
              <w:rPr>
                <w:b/>
                <w:sz w:val="17"/>
              </w:rPr>
              <w:t>Block</w:t>
            </w:r>
          </w:p>
        </w:tc>
        <w:tc>
          <w:tcPr>
            <w:tcW w:type="dxa" w:w="1440"/>
          </w:tcPr>
          <w:p>
            <w:r/>
            <w:r>
              <w:rPr>
                <w:b/>
                <w:sz w:val="17"/>
              </w:rPr>
              <w:t>Lead</w:t>
            </w:r>
          </w:p>
        </w:tc>
        <w:tc>
          <w:tcPr>
            <w:tcW w:type="dxa" w:w="1008"/>
          </w:tcPr>
          <w:p>
            <w:r/>
            <w:r>
              <w:rPr>
                <w:b/>
                <w:sz w:val="17"/>
              </w:rPr>
              <w:t>Time</w:t>
            </w:r>
          </w:p>
        </w:tc>
      </w:tr>
      <w:tr>
        <w:tc>
          <w:tcPr>
            <w:tcW w:type="dxa" w:w="504"/>
          </w:tcPr>
          <w:p>
            <w:r/>
            <w:r>
              <w:rPr>
                <w:sz w:val="17"/>
              </w:rPr>
              <w:t>0</w:t>
            </w:r>
          </w:p>
        </w:tc>
        <w:tc>
          <w:tcPr>
            <w:tcW w:type="dxa" w:w="5184"/>
          </w:tcPr>
          <w:p>
            <w:r/>
            <w:r>
              <w:rPr>
                <w:sz w:val="17"/>
              </w:rPr>
              <w:t>Open: their goals, set the arc, the platform thesis</w:t>
            </w:r>
          </w:p>
        </w:tc>
        <w:tc>
          <w:tcPr>
            <w:tcW w:type="dxa" w:w="1440"/>
          </w:tcPr>
          <w:p>
            <w:r/>
            <w:r>
              <w:rPr>
                <w:sz w:val="17"/>
              </w:rPr>
              <w:t>Session lead</w:t>
            </w:r>
          </w:p>
        </w:tc>
        <w:tc>
          <w:tcPr>
            <w:tcW w:type="dxa" w:w="1008"/>
          </w:tcPr>
          <w:p>
            <w:r/>
            <w:r>
              <w:rPr>
                <w:sz w:val="17"/>
              </w:rPr>
              <w:t>20 min</w:t>
            </w:r>
          </w:p>
        </w:tc>
      </w:tr>
      <w:tr>
        <w:tc>
          <w:tcPr>
            <w:tcW w:type="dxa" w:w="504"/>
          </w:tcPr>
          <w:p>
            <w:r/>
            <w:r>
              <w:rPr>
                <w:sz w:val="17"/>
              </w:rPr>
              <w:t>1</w:t>
            </w:r>
          </w:p>
        </w:tc>
        <w:tc>
          <w:tcPr>
            <w:tcW w:type="dxa" w:w="5184"/>
          </w:tcPr>
          <w:p>
            <w:r/>
            <w:r>
              <w:rPr>
                <w:sz w:val="17"/>
              </w:rPr>
              <w:t>Layer 2 - Behavioral digital twin (theory, live demo, results)</w:t>
            </w:r>
          </w:p>
        </w:tc>
        <w:tc>
          <w:tcPr>
            <w:tcW w:type="dxa" w:w="1440"/>
          </w:tcPr>
          <w:p>
            <w:r/>
            <w:r>
              <w:rPr>
                <w:sz w:val="17"/>
              </w:rPr>
              <w:t>Twin lead</w:t>
            </w:r>
          </w:p>
        </w:tc>
        <w:tc>
          <w:tcPr>
            <w:tcW w:type="dxa" w:w="1008"/>
          </w:tcPr>
          <w:p>
            <w:r/>
            <w:r>
              <w:rPr>
                <w:sz w:val="17"/>
              </w:rPr>
              <w:t>60 min</w:t>
            </w:r>
          </w:p>
        </w:tc>
      </w:tr>
      <w:tr>
        <w:tc>
          <w:tcPr>
            <w:tcW w:type="dxa" w:w="504"/>
          </w:tcPr>
          <w:p>
            <w:r/>
            <w:r>
              <w:rPr>
                <w:sz w:val="17"/>
              </w:rPr>
              <w:t>2</w:t>
            </w:r>
          </w:p>
        </w:tc>
        <w:tc>
          <w:tcPr>
            <w:tcW w:type="dxa" w:w="5184"/>
          </w:tcPr>
          <w:p>
            <w:r/>
            <w:r>
              <w:rPr>
                <w:sz w:val="17"/>
              </w:rPr>
              <w:t>Layer 1 - Preemptive Network Assurance (theory, live demo, results)</w:t>
            </w:r>
          </w:p>
        </w:tc>
        <w:tc>
          <w:tcPr>
            <w:tcW w:type="dxa" w:w="1440"/>
          </w:tcPr>
          <w:p>
            <w:r/>
            <w:r>
              <w:rPr>
                <w:sz w:val="17"/>
              </w:rPr>
              <w:t>L1 lead</w:t>
            </w:r>
          </w:p>
        </w:tc>
        <w:tc>
          <w:tcPr>
            <w:tcW w:type="dxa" w:w="1008"/>
          </w:tcPr>
          <w:p>
            <w:r/>
            <w:r>
              <w:rPr>
                <w:sz w:val="17"/>
              </w:rPr>
              <w:t>60 min</w:t>
            </w:r>
          </w:p>
        </w:tc>
      </w:tr>
      <w:tr>
        <w:tc>
          <w:tcPr>
            <w:tcW w:type="dxa" w:w="504"/>
          </w:tcPr>
          <w:p>
            <w:r/>
            <w:r>
              <w:rPr>
                <w:sz w:val="17"/>
              </w:rPr>
              <w:t>3</w:t>
            </w:r>
          </w:p>
        </w:tc>
        <w:tc>
          <w:tcPr>
            <w:tcW w:type="dxa" w:w="5184"/>
          </w:tcPr>
          <w:p>
            <w:r/>
            <w:r>
              <w:rPr>
                <w:sz w:val="17"/>
              </w:rPr>
              <w:t>Layer 3 - API, Data &amp; Agentic-AI Runtime (theory, live demo, results)</w:t>
            </w:r>
          </w:p>
        </w:tc>
        <w:tc>
          <w:tcPr>
            <w:tcW w:type="dxa" w:w="1440"/>
          </w:tcPr>
          <w:p>
            <w:r/>
            <w:r>
              <w:rPr>
                <w:sz w:val="17"/>
              </w:rPr>
              <w:t>L3 lead</w:t>
            </w:r>
          </w:p>
        </w:tc>
        <w:tc>
          <w:tcPr>
            <w:tcW w:type="dxa" w:w="1008"/>
          </w:tcPr>
          <w:p>
            <w:r/>
            <w:r>
              <w:rPr>
                <w:sz w:val="17"/>
              </w:rPr>
              <w:t>60 min</w:t>
            </w:r>
          </w:p>
        </w:tc>
      </w:tr>
      <w:tr>
        <w:tc>
          <w:tcPr>
            <w:tcW w:type="dxa" w:w="504"/>
          </w:tcPr>
          <w:p>
            <w:r/>
            <w:r>
              <w:rPr>
                <w:sz w:val="17"/>
              </w:rPr>
              <w:t>4</w:t>
            </w:r>
          </w:p>
        </w:tc>
        <w:tc>
          <w:tcPr>
            <w:tcW w:type="dxa" w:w="5184"/>
          </w:tcPr>
          <w:p>
            <w:r/>
            <w:r>
              <w:rPr>
                <w:sz w:val="17"/>
              </w:rPr>
              <w:t>Layer 4 - Code &amp; Supply-Chain (roadmap, honest)</w:t>
            </w:r>
          </w:p>
        </w:tc>
        <w:tc>
          <w:tcPr>
            <w:tcW w:type="dxa" w:w="1440"/>
          </w:tcPr>
          <w:p>
            <w:r/>
            <w:r>
              <w:rPr>
                <w:sz w:val="17"/>
              </w:rPr>
              <w:t>Session lead</w:t>
            </w:r>
          </w:p>
        </w:tc>
        <w:tc>
          <w:tcPr>
            <w:tcW w:type="dxa" w:w="1008"/>
          </w:tcPr>
          <w:p>
            <w:r/>
            <w:r>
              <w:rPr>
                <w:sz w:val="17"/>
              </w:rPr>
              <w:t>15 min</w:t>
            </w:r>
          </w:p>
        </w:tc>
      </w:tr>
      <w:tr>
        <w:tc>
          <w:tcPr>
            <w:tcW w:type="dxa" w:w="504"/>
          </w:tcPr>
          <w:p>
            <w:r/>
            <w:r>
              <w:rPr>
                <w:sz w:val="17"/>
              </w:rPr>
              <w:t>5</w:t>
            </w:r>
          </w:p>
        </w:tc>
        <w:tc>
          <w:tcPr>
            <w:tcW w:type="dxa" w:w="5184"/>
          </w:tcPr>
          <w:p>
            <w:r/>
            <w:r>
              <w:rPr>
                <w:sz w:val="17"/>
              </w:rPr>
              <w:t>Integration: one Typhoon across all four layers + federal fit + the ask</w:t>
            </w:r>
          </w:p>
        </w:tc>
        <w:tc>
          <w:tcPr>
            <w:tcW w:type="dxa" w:w="1440"/>
          </w:tcPr>
          <w:p>
            <w:r/>
            <w:r>
              <w:rPr>
                <w:sz w:val="17"/>
              </w:rPr>
              <w:t>Session lead</w:t>
            </w:r>
          </w:p>
        </w:tc>
        <w:tc>
          <w:tcPr>
            <w:tcW w:type="dxa" w:w="1008"/>
          </w:tcPr>
          <w:p>
            <w:r/>
            <w:r>
              <w:rPr>
                <w:sz w:val="17"/>
              </w:rPr>
              <w:t>30 min</w:t>
            </w:r>
          </w:p>
        </w:tc>
      </w:tr>
      <w:tr>
        <w:tc>
          <w:tcPr>
            <w:tcW w:type="dxa" w:w="504"/>
          </w:tcPr>
          <w:p>
            <w:r/>
            <w:r>
              <w:rPr>
                <w:sz w:val="17"/>
              </w:rPr>
              <w:t>-</w:t>
            </w:r>
          </w:p>
        </w:tc>
        <w:tc>
          <w:tcPr>
            <w:tcW w:type="dxa" w:w="5184"/>
          </w:tcPr>
          <w:p>
            <w:r/>
            <w:r>
              <w:rPr>
                <w:sz w:val="17"/>
              </w:rPr>
              <w:t>Buffer for hard questions</w:t>
            </w:r>
          </w:p>
        </w:tc>
        <w:tc>
          <w:tcPr>
            <w:tcW w:type="dxa" w:w="1440"/>
          </w:tcPr>
          <w:p>
            <w:r/>
            <w:r>
              <w:rPr>
                <w:sz w:val="17"/>
              </w:rPr>
              <w:t>All</w:t>
            </w:r>
          </w:p>
        </w:tc>
        <w:tc>
          <w:tcPr>
            <w:tcW w:type="dxa" w:w="1008"/>
          </w:tcPr>
          <w:p>
            <w:r/>
            <w:r>
              <w:rPr>
                <w:sz w:val="17"/>
              </w:rPr>
              <w:t>20 min</w:t>
            </w:r>
          </w:p>
        </w:tc>
      </w:tr>
    </w:tbl>
    <w:p/>
    <w:p>
      <w:pPr>
        <w:spacing w:after="40"/>
      </w:pPr>
      <w:r>
        <w:rPr>
          <w:b/>
          <w:color w:val="555F6B"/>
          <w:sz w:val="19"/>
        </w:rPr>
        <w:t xml:space="preserve">Sequence note:  </w:t>
      </w:r>
      <w:r>
        <w:rPr>
          <w:sz w:val="19"/>
        </w:rPr>
        <w:t>Lead with the digital twin (Layer 2). They asked for it, it is the core IP, and it sets the credibility bar the other blocks inherit. The session lead bookends so it reads as one architecture.</w:t>
      </w:r>
    </w:p>
    <w:p>
      <w:pPr>
        <w:pStyle w:val="Heading1"/>
      </w:pPr>
      <w:r>
        <w:rPr>
          <w:color w:val="1F3864"/>
        </w:rPr>
        <w:t>5. Block-by-block</w:t>
      </w:r>
    </w:p>
    <w:p>
      <w:pPr>
        <w:pStyle w:val="Heading2"/>
      </w:pPr>
      <w:r>
        <w:rPr>
          <w:color w:val="2E75B6"/>
        </w:rPr>
        <w:t>Block 0 - Open</w:t>
      </w:r>
    </w:p>
    <w:p>
      <w:pPr>
        <w:spacing w:after="20"/>
      </w:pPr>
      <w:r>
        <w:rPr>
          <w:b/>
          <w:color w:val="1F7A33"/>
          <w:sz w:val="19"/>
        </w:rPr>
        <w:t>SAY:</w:t>
      </w:r>
    </w:p>
    <w:p>
      <w:pPr>
        <w:spacing w:after="60"/>
        <w:ind w:left="360"/>
      </w:pPr>
      <w:r>
        <w:rPr>
          <w:i/>
          <w:sz w:val="21"/>
        </w:rPr>
        <w:t>“What you will see today is one platform, the 22nd Century V-Intelligence four-layer architecture, covering the full attack lifecycle under one MITRE vocabulary. Every layer runs live. We will be explicit about what is operational today versus on the roadmap. Let's start with the behavioral core.”</w:t>
      </w:r>
    </w:p>
    <w:p>
      <w:pPr>
        <w:spacing w:after="40"/>
      </w:pPr>
      <w:r>
        <w:rPr>
          <w:b/>
          <w:color w:val="555F6B"/>
          <w:sz w:val="19"/>
        </w:rPr>
        <w:t xml:space="preserve">Why:  </w:t>
      </w:r>
      <w:r>
        <w:rPr>
          <w:sz w:val="19"/>
        </w:rPr>
        <w:t>Sets the stakes (Volt/Salt, valid-account gap) and states the honesty boundary before any mechanics, so the demos that follow are answering a real campaign, not floating as a pitch.</w:t>
      </w:r>
    </w:p>
    <w:p>
      <w:pPr>
        <w:pStyle w:val="Heading2"/>
      </w:pPr>
      <w:r>
        <w:rPr>
          <w:color w:val="2E75B6"/>
        </w:rPr>
        <w:t>Block 1 - Layer 2, the digital twin (anchor)</w:t>
      </w:r>
    </w:p>
    <w:p>
      <w:pPr>
        <w:spacing w:after="40"/>
      </w:pPr>
      <w:r>
        <w:rPr>
          <w:b/>
          <w:color w:val="555F6B"/>
          <w:sz w:val="19"/>
        </w:rPr>
        <w:t xml:space="preserve">Content:  </w:t>
      </w:r>
      <w:r>
        <w:rPr>
          <w:sz w:val="19"/>
        </w:rPr>
        <w:t>The 7-part anatomy + the live four-attacker demo + the 8.1% derivation. Real numbers in Section 9.</w:t>
      </w:r>
    </w:p>
    <w:p>
      <w:pPr>
        <w:spacing w:after="40"/>
      </w:pPr>
      <w:r>
        <w:rPr>
          <w:b/>
          <w:color w:val="555F6B"/>
          <w:sz w:val="19"/>
        </w:rPr>
        <w:t xml:space="preserve">Why:  </w:t>
      </w:r>
      <w:r>
        <w:rPr>
          <w:sz w:val="19"/>
        </w:rPr>
        <w:t>Proves the hardest claim live: detecting a nation-state living off the land on valid accounts. Slow APT is invisible to thresholds and caught by novelty alone; Volt is caught by breadth of small signals. Win this block and the other layers inherit the credibility.</w:t>
      </w:r>
    </w:p>
    <w:p>
      <w:pPr>
        <w:spacing w:after="40"/>
      </w:pPr>
      <w:r>
        <w:rPr>
          <w:b/>
          <w:color w:val="555F6B"/>
          <w:sz w:val="19"/>
        </w:rPr>
        <w:t xml:space="preserve">Honesty line:  </w:t>
      </w:r>
      <w:r>
        <w:rPr>
          <w:sz w:val="19"/>
        </w:rPr>
        <w:t>"The behavioral core runs live. Identity fusion, forensics, and response are roadmap."</w:t>
      </w:r>
    </w:p>
    <w:p>
      <w:pPr>
        <w:pStyle w:val="Heading2"/>
      </w:pPr>
      <w:r>
        <w:rPr>
          <w:color w:val="2E75B6"/>
        </w:rPr>
        <w:t>Block 2 - Layer 1, Preemptive</w:t>
      </w:r>
    </w:p>
    <w:p>
      <w:pPr>
        <w:spacing w:after="40"/>
      </w:pPr>
      <w:r>
        <w:rPr>
          <w:b/>
          <w:color w:val="555F6B"/>
          <w:sz w:val="19"/>
        </w:rPr>
        <w:t xml:space="preserve">Content:  </w:t>
      </w:r>
      <w:r>
        <w:rPr>
          <w:sz w:val="19"/>
        </w:rPr>
        <w:t>Formal-proof network assurance. Scenario: prove Volt's misconfigured-edge entry path is closed before traffic flows.</w:t>
      </w:r>
    </w:p>
    <w:p>
      <w:pPr>
        <w:spacing w:after="40"/>
      </w:pPr>
      <w:r>
        <w:rPr>
          <w:b/>
          <w:color w:val="555F6B"/>
          <w:sz w:val="19"/>
        </w:rPr>
        <w:t xml:space="preserve">Why:  </w:t>
      </w:r>
      <w:r>
        <w:rPr>
          <w:sz w:val="19"/>
        </w:rPr>
        <w:t>The prevention half of the gap. Layer 2 catches the adversary already inside; Layer 1 proves the edge was provably closed. Detection alone is reactive; prevention plus detection is a posture.</w:t>
      </w:r>
    </w:p>
    <w:p>
      <w:pPr>
        <w:spacing w:after="40"/>
      </w:pPr>
      <w:r>
        <w:rPr>
          <w:b/>
          <w:color w:val="555F6B"/>
          <w:sz w:val="19"/>
        </w:rPr>
        <w:t xml:space="preserve">Format:  </w:t>
      </w:r>
      <w:r>
        <w:rPr>
          <w:sz w:val="19"/>
        </w:rPr>
        <w:t>theory 15, live demo 30, results 15. Same results frame as every other layer.</w:t>
      </w:r>
    </w:p>
    <w:p>
      <w:pPr>
        <w:spacing w:after="40"/>
      </w:pPr>
      <w:r>
        <w:rPr>
          <w:b/>
          <w:color w:val="555F6B"/>
          <w:sz w:val="19"/>
        </w:rPr>
        <w:t xml:space="preserve">Handoff:  </w:t>
      </w:r>
      <w:r>
        <w:rPr>
          <w:sz w:val="19"/>
        </w:rPr>
        <w:t>Twin lead hands to the L1 lead; session lead keeps it framed as Layer 1 of the one platform.</w:t>
      </w:r>
    </w:p>
    <w:p>
      <w:pPr>
        <w:pStyle w:val="Heading2"/>
      </w:pPr>
      <w:r>
        <w:rPr>
          <w:color w:val="2E75B6"/>
        </w:rPr>
        <w:t>Block 3 - Layer 3, API/Data/Agentic</w:t>
      </w:r>
    </w:p>
    <w:p>
      <w:pPr>
        <w:spacing w:after="40"/>
      </w:pPr>
      <w:r>
        <w:rPr>
          <w:b/>
          <w:color w:val="555F6B"/>
          <w:sz w:val="19"/>
        </w:rPr>
        <w:t xml:space="preserve">Content:  </w:t>
      </w:r>
      <w:r>
        <w:rPr>
          <w:sz w:val="19"/>
        </w:rPr>
        <w:t>API, data, and agentic-AI runtime protection. Scenario: catch Salt's API/data collection and agent abuse at runtime.</w:t>
      </w:r>
    </w:p>
    <w:p>
      <w:pPr>
        <w:spacing w:after="40"/>
      </w:pPr>
      <w:r>
        <w:rPr>
          <w:b/>
          <w:color w:val="555F6B"/>
          <w:sz w:val="19"/>
        </w:rPr>
        <w:t xml:space="preserve">Why:  </w:t>
      </w:r>
      <w:r>
        <w:rPr>
          <w:sz w:val="19"/>
        </w:rPr>
        <w:t>The exfiltration altitude, where Salt actually steals data, plus the agentic-AI blind spot. Layer 2 sees the behavior; Layer 3 sees the data movement and the AI agents.</w:t>
      </w:r>
    </w:p>
    <w:p>
      <w:pPr>
        <w:spacing w:after="40"/>
      </w:pPr>
      <w:r>
        <w:rPr>
          <w:b/>
          <w:color w:val="555F6B"/>
          <w:sz w:val="19"/>
        </w:rPr>
        <w:t xml:space="preserve">Format:  </w:t>
      </w:r>
      <w:r>
        <w:rPr>
          <w:sz w:val="19"/>
        </w:rPr>
        <w:t>theory 15, live demo 30, results 15.</w:t>
      </w:r>
    </w:p>
    <w:p>
      <w:pPr>
        <w:pStyle w:val="Heading2"/>
      </w:pPr>
      <w:r>
        <w:rPr>
          <w:color w:val="2E75B6"/>
        </w:rPr>
        <w:t>Block 4 - Layer 4, Code/Supply-Chain (roadmap)</w:t>
      </w:r>
    </w:p>
    <w:p>
      <w:pPr>
        <w:spacing w:after="40"/>
      </w:pPr>
      <w:r>
        <w:rPr>
          <w:b/>
          <w:color w:val="555F6B"/>
          <w:sz w:val="19"/>
        </w:rPr>
        <w:t xml:space="preserve">Why:  </w:t>
      </w:r>
      <w:r>
        <w:rPr>
          <w:sz w:val="19"/>
        </w:rPr>
        <w:t>Closes the lifecycle at the source, the exploitable code that grants initial access (SolarWinds / XZ style) that no other layer addresses. Even as roadmap, it shows the architecture is complete end to end.</w:t>
      </w:r>
    </w:p>
    <w:p>
      <w:pPr>
        <w:spacing w:after="40"/>
      </w:pPr>
      <w:r>
        <w:rPr>
          <w:b/>
          <w:color w:val="555F6B"/>
          <w:sz w:val="19"/>
        </w:rPr>
        <w:t xml:space="preserve">Honesty line:  </w:t>
      </w:r>
      <w:r>
        <w:rPr>
          <w:sz w:val="19"/>
        </w:rPr>
        <w:t>"This layer is in development. I am presenting the approach, not a running product."</w:t>
      </w:r>
    </w:p>
    <w:p>
      <w:pPr>
        <w:pStyle w:val="Heading2"/>
      </w:pPr>
      <w:r>
        <w:rPr>
          <w:color w:val="2E75B6"/>
        </w:rPr>
        <w:t>Block 5 - Integration + the ask</w:t>
      </w:r>
    </w:p>
    <w:p>
      <w:pPr>
        <w:spacing w:after="40"/>
      </w:pPr>
      <w:r>
        <w:rPr>
          <w:b/>
          <w:color w:val="555F6B"/>
          <w:sz w:val="19"/>
        </w:rPr>
        <w:t xml:space="preserve">Why:  </w:t>
      </w:r>
      <w:r>
        <w:rPr>
          <w:sz w:val="19"/>
        </w:rPr>
        <w:t>Here the layers become more than their sum. The hand-off across layers is the moat no single tool can claim, and it converts the demo into a decision: a bounded pilot.</w:t>
      </w:r>
    </w:p>
    <w:p>
      <w:pPr>
        <w:spacing w:after="40"/>
      </w:pPr>
      <w:r>
        <w:rPr>
          <w:b/>
          <w:color w:val="555F6B"/>
          <w:sz w:val="19"/>
        </w:rPr>
        <w:t xml:space="preserve">The moat:  </w:t>
      </w:r>
      <w:r>
        <w:rPr>
          <w:sz w:val="19"/>
        </w:rPr>
        <w:t>Only the integrated platform shows the layers handing off. Trace one Typhoon intrusion: Layer 4 removes the exploitable code, Layer 1 proves the edge is closed, Layer 2 catches the valid-account behavior inside, Layer 3 catches the API/data exfil.</w:t>
      </w:r>
    </w:p>
    <w:p>
      <w:r>
        <w:rPr>
          <w:b w:val="0"/>
          <w:i/>
        </w:rPr>
        <w:t>The ask: "You saw one platform, four layers, every layer live, under one MITRE vocabulary, from one vendor. The honest next step is a bounded pilot on real Army telemetry, advisory and human-in-the-loop, measured side-by-side against current tooling."</w:t>
      </w:r>
    </w:p>
    <w:p>
      <w:pPr>
        <w:pStyle w:val="Heading1"/>
      </w:pPr>
      <w:r>
        <w:rPr>
          <w:color w:val="1F3864"/>
        </w:rPr>
        <w:t>6. Why covering all four layers makes it relevant</w:t>
      </w:r>
    </w:p>
    <w:p>
      <w:pPr>
        <w:pStyle w:val="ListBullet"/>
      </w:pPr>
      <w:r>
        <w:rPr>
          <w:b/>
        </w:rPr>
        <w:t xml:space="preserve">The adversary uses all four layers, </w:t>
      </w:r>
      <w:r>
        <w:t>so a single-layer answer is structurally incomplete. Covering all four maps the defense to how Volt and Salt actually operate.</w:t>
      </w:r>
    </w:p>
    <w:p>
      <w:pPr>
        <w:pStyle w:val="ListBullet"/>
      </w:pPr>
      <w:r>
        <w:rPr>
          <w:b/>
        </w:rPr>
        <w:t xml:space="preserve">Each layer catches what the others cannot: </w:t>
      </w:r>
      <w:r>
        <w:t>Layer 1 cannot see valid-account behavior (the credentials are valid); Layer 2 cannot prove the edge configuration; Layer 3 sees runtime data movement but not the behavioral trajectory; Layer 4 prevents the foothold none of the others reach. The coverage is complementarity, not redundancy.</w:t>
      </w:r>
    </w:p>
    <w:p>
      <w:pPr>
        <w:pStyle w:val="ListBullet"/>
      </w:pPr>
      <w:r>
        <w:rPr>
          <w:b/>
        </w:rPr>
        <w:t xml:space="preserve">One MITRE vocabulary </w:t>
      </w:r>
      <w:r>
        <w:t>makes it one defense, not four tools with blind spots between them.</w:t>
      </w:r>
    </w:p>
    <w:p>
      <w:pPr>
        <w:pStyle w:val="ListBullet"/>
      </w:pPr>
      <w:r>
        <w:rPr>
          <w:b/>
        </w:rPr>
        <w:t xml:space="preserve">It satisfies all three seats at once: </w:t>
      </w:r>
      <w:r>
        <w:t>Esquibel gets measured detection fidelity, DiGrezio gets one fieldable platform from one vendor, Herrmann gets a complete answer to the national valid-account / critical-infrastructure gap.</w:t>
      </w:r>
    </w:p>
    <w:p>
      <w:pPr>
        <w:pStyle w:val="Heading1"/>
      </w:pPr>
      <w:r>
        <w:rPr>
          <w:color w:val="1F3864"/>
        </w:rPr>
        <w:t>7. The overall message (the close)</w:t>
      </w:r>
    </w:p>
    <w:p>
      <w:r>
        <w:rPr>
          <w:b w:val="0"/>
          <w:i/>
        </w:rPr>
        <w:t>"No single box stops a Volt or a Salt; they log in, they do not break in, and they move across the whole stack. What you saw today is one platform, four layers, under one MITRE vocabulary, covering the full attack lifecycle from code to edge to behavior to data. The behavioral core is ours and runs live, on the logs you already collect, catching four nation-state campaigns your current tools score as normal. The other layers close the rest of the lifecycle; Layer 4 is the honest roadmap. The right next step is a bounded pilot on real Army telemetry, advisory and human-in-the-loop, measured side-by-side against what you run today."</w:t>
      </w:r>
    </w:p>
    <w:p>
      <w:pPr>
        <w:pStyle w:val="ListBullet"/>
      </w:pPr>
      <w:r>
        <w:rPr>
          <w:b/>
        </w:rPr>
        <w:t xml:space="preserve">Walk-out belief: </w:t>
      </w:r>
      <w:r>
        <w:t>the most complete and the most honest answer to the valid-account / living-off-the-land gap; the core is proven, not promised; it is fieldable as one platform.</w:t>
      </w:r>
    </w:p>
    <w:p>
      <w:pPr>
        <w:pStyle w:val="ListBullet"/>
      </w:pPr>
      <w:r>
        <w:rPr>
          <w:b/>
        </w:rPr>
        <w:t xml:space="preserve">Walk-out action: </w:t>
      </w:r>
      <w:r>
        <w:t>scope the bounded pilot.</w:t>
      </w:r>
    </w:p>
    <w:p>
      <w:pPr>
        <w:pStyle w:val="Heading1"/>
      </w:pPr>
      <w:r>
        <w:rPr>
          <w:color w:val="1F3864"/>
        </w:rPr>
        <w:t>8. Per-attendee lenses</w:t>
      </w:r>
    </w:p>
    <w:p>
      <w:pPr>
        <w:pStyle w:val="ListBullet"/>
      </w:pPr>
      <w:r>
        <w:rPr>
          <w:b/>
        </w:rPr>
        <w:t xml:space="preserve">Dr. Judy Esquibel (ARCYBER operator, your ally): </w:t>
      </w:r>
      <w:r>
        <w:t>detection fidelity, LOTL/valid-account, FP economics, baseline drift. Go deep on the twin and on each layer.</w:t>
      </w:r>
    </w:p>
    <w:p>
      <w:pPr>
        <w:pStyle w:val="ListBullet"/>
      </w:pPr>
      <w:r>
        <w:rPr>
          <w:b/>
        </w:rPr>
        <w:t xml:space="preserve">LTC Micah DiGrezio (acquisition): </w:t>
      </w:r>
      <w:r>
        <w:t>one fieldable platform, one vendor. Data/telemetry requirements, footprint (IL5/6, JWICS), integration, sustainment, acquisition path (OTA -&gt; PoR).</w:t>
      </w:r>
    </w:p>
    <w:p>
      <w:pPr>
        <w:pStyle w:val="ListBullet"/>
      </w:pPr>
      <w:r>
        <w:rPr>
          <w:b/>
        </w:rPr>
        <w:t xml:space="preserve">Kellsie Herrmann (policy): </w:t>
      </w:r>
      <w:r>
        <w:t>why it matters: Volt/Salt, valid-account critical-infra gap, authorities, no PII in the behavioral vector, readiness. Keep the math light.</w:t>
      </w:r>
    </w:p>
    <w:p>
      <w:pPr>
        <w:pStyle w:val="Heading1"/>
      </w:pPr>
      <w:r>
        <w:rPr>
          <w:color w:val="1F3864"/>
        </w:rPr>
        <w:t>9. Numbers to keep straight (digital twin)</w:t>
      </w:r>
    </w:p>
    <w:p>
      <w:pPr>
        <w:pStyle w:val="ListBullet"/>
      </w:pPr>
      <w:r>
        <w:rPr>
          <w:b/>
        </w:rPr>
        <w:t xml:space="preserve">Dataset: </w:t>
      </w:r>
      <w:r>
        <w:t>250 entities, 485 days, ~14M events, 5 log sources.</w:t>
      </w:r>
    </w:p>
    <w:p>
      <w:pPr>
        <w:pStyle w:val="ListBullet"/>
      </w:pPr>
      <w:r>
        <w:rPr>
          <w:b/>
        </w:rPr>
        <w:t xml:space="preserve">FP: </w:t>
      </w:r>
      <w:r>
        <w:t>8.1% composite (~20/246 normals above Volt's 13.70), 4/4 caught. Use 8.1, never 8.5.</w:t>
      </w:r>
    </w:p>
    <w:p>
      <w:pPr>
        <w:pStyle w:val="ListBullet"/>
      </w:pPr>
      <w:r>
        <w:rPr>
          <w:b/>
        </w:rPr>
        <w:t xml:space="preserve">Ranks: </w:t>
      </w:r>
      <w:r>
        <w:t>Salt #1 (51.27); Insider #2 (46.24); Slow APT #7 (19.44); Volt #24 (13.70).</w:t>
      </w:r>
    </w:p>
    <w:p>
      <w:pPr>
        <w:pStyle w:val="ListBullet"/>
      </w:pPr>
      <w:r>
        <w:rPr>
          <w:b/>
        </w:rPr>
        <w:t xml:space="preserve">Baselines: </w:t>
      </w:r>
      <w:r>
        <w:t>Isolation Forest / OC-SVM / LOF each 0/4; z-score 1/4.</w:t>
      </w:r>
    </w:p>
    <w:p>
      <w:pPr>
        <w:pStyle w:val="ListBullet"/>
      </w:pPr>
      <w:r>
        <w:rPr>
          <w:b/>
        </w:rPr>
        <w:t xml:space="preserve">Separation is by RANK: </w:t>
      </w:r>
      <w:r>
        <w:t>top normal (21.5) outscores Slow APT (19.4) and Volt (13.7). Present a ranked list.</w:t>
      </w:r>
    </w:p>
    <w:p>
      <w:pPr>
        <w:pStyle w:val="Heading1"/>
      </w:pPr>
      <w:r>
        <w:rPr>
          <w:color w:val="1F3864"/>
        </w:rPr>
        <w:t>10. Logistics (in-person, all presenters present)</w:t>
      </w:r>
    </w:p>
    <w:p>
      <w:pPr>
        <w:ind w:left="288"/>
      </w:pPr>
      <w:r>
        <w:rPr>
          <w:b/>
          <w:color w:val="A61B1B"/>
          <w:sz w:val="19"/>
        </w:rPr>
        <w:t>In-person at an Army facility. The #1 failure mode is network access. Plan for no internet in the room.</w:t>
      </w:r>
    </w:p>
    <w:p>
      <w:pPr>
        <w:pStyle w:val="ListBullet"/>
      </w:pPr>
      <w:r>
        <w:rPr>
          <w:b/>
        </w:rPr>
        <w:t xml:space="preserve">Network is the top risk: </w:t>
      </w:r>
      <w:r>
        <w:t>assume the room has restricted or no internet. Every demo (all three live layers) must run locally/offline, over the presenter's own cellular hotspot, or from a full backup recording. Do NOT assume cloud access to any demo environment.</w:t>
      </w:r>
    </w:p>
    <w:p>
      <w:pPr>
        <w:pStyle w:val="ListBullet"/>
      </w:pPr>
      <w:r>
        <w:rPr>
          <w:b/>
        </w:rPr>
        <w:t xml:space="preserve">Backup recordings are mandatory </w:t>
      </w:r>
      <w:r>
        <w:t>for all three live layers, in case a demo stalls or the network is locked down.</w:t>
      </w:r>
    </w:p>
    <w:p>
      <w:pPr>
        <w:pStyle w:val="ListBullet"/>
      </w:pPr>
      <w:r>
        <w:rPr>
          <w:b/>
        </w:rPr>
        <w:t xml:space="preserve">Bring-your-own-hardware: </w:t>
      </w:r>
      <w:r>
        <w:t>each presenter brings their own tested demo laptop plus HDMI and USB-C adapters.</w:t>
      </w:r>
    </w:p>
    <w:p>
      <w:pPr>
        <w:pStyle w:val="ListBullet"/>
      </w:pPr>
      <w:r>
        <w:rPr>
          <w:b/>
        </w:rPr>
        <w:t xml:space="preserve">One shared display, </w:t>
      </w:r>
      <w:r>
        <w:t>with a clean driver-switch protocol. The session lead keeps the 60-minute boxes.</w:t>
      </w:r>
    </w:p>
    <w:p>
      <w:pPr>
        <w:pStyle w:val="ListBullet"/>
      </w:pPr>
      <w:r>
        <w:rPr>
          <w:b/>
        </w:rPr>
        <w:t xml:space="preserve">Arrive early: </w:t>
      </w:r>
      <w:r>
        <w:t>60 to 90 minutes for an AV check and a full demo dry-run in the actual room before the customer arrives.</w:t>
      </w:r>
    </w:p>
    <w:p>
      <w:r>
        <w:rPr>
          <w:b w:val="0"/>
          <w:i w:val="0"/>
        </w:rPr>
      </w:r>
    </w:p>
    <w:p>
      <w:r>
        <w:rPr>
          <w:b w:val="0"/>
          <w:i/>
          <w:color w:val="555F6B"/>
          <w:sz w:val="18"/>
        </w:rPr>
        <w:t>Internal preparation document. One company, one platform. Not for distribution.</w:t>
      </w:r>
    </w:p>
    <w:p>
      <w:r>
        <w:br w:type="page"/>
      </w:r>
    </w:p>
    <w:p>
      <w:pPr>
        <w:pStyle w:val="Heading1"/>
      </w:pPr>
      <w:r>
        <w:rPr>
          <w:color w:val="1F3864"/>
        </w:rPr>
        <w:t>Glossary of Terms and Acronyms</w:t>
      </w:r>
    </w:p>
    <w:p>
      <w:r>
        <w:rPr>
          <w:i/>
          <w:color w:val="555F6B"/>
          <w:sz w:val="19"/>
        </w:rPr>
        <w:t>Plain-language expansions of the acronyms used in this document and the wider session materials.</w:t>
      </w:r>
    </w:p>
    <w:p>
      <w:pPr>
        <w:spacing w:before="120" w:after="40"/>
      </w:pPr>
      <w:r>
        <w:rPr>
          <w:b/>
          <w:color w:val="2E75B6"/>
          <w:sz w:val="22"/>
        </w:rPr>
        <w:t>Network and Infrastructure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1368"/>
          </w:tcPr>
          <w:p>
            <w:r/>
            <w:r>
              <w:rPr>
                <w:b/>
                <w:sz w:val="17"/>
              </w:rPr>
              <w:t>Acronym</w:t>
            </w:r>
          </w:p>
        </w:tc>
        <w:tc>
          <w:tcPr>
            <w:tcW w:type="dxa" w:w="3240"/>
          </w:tcPr>
          <w:p>
            <w:r/>
            <w:r>
              <w:rPr>
                <w:b/>
                <w:sz w:val="17"/>
              </w:rPr>
              <w:t>Term</w:t>
            </w:r>
          </w:p>
        </w:tc>
        <w:tc>
          <w:tcPr>
            <w:tcW w:type="dxa" w:w="4752"/>
          </w:tcPr>
          <w:p>
            <w:r/>
            <w:r>
              <w:rPr>
                <w:b/>
                <w:sz w:val="17"/>
              </w:rPr>
              <w:t>Meaning</w:t>
            </w:r>
          </w:p>
        </w:tc>
      </w:tr>
      <w:tr>
        <w:tc>
          <w:tcPr>
            <w:tcW w:type="dxa" w:w="1368"/>
          </w:tcPr>
          <w:p>
            <w:r/>
            <w:r>
              <w:rPr>
                <w:b/>
                <w:sz w:val="17"/>
              </w:rPr>
              <w:t>ABAC</w:t>
            </w:r>
          </w:p>
        </w:tc>
        <w:tc>
          <w:tcPr>
            <w:tcW w:type="dxa" w:w="3240"/>
          </w:tcPr>
          <w:p>
            <w:r/>
            <w:r>
              <w:rPr>
                <w:sz w:val="17"/>
              </w:rPr>
              <w:t>Attribute-Based Access Control</w:t>
            </w:r>
          </w:p>
        </w:tc>
        <w:tc>
          <w:tcPr>
            <w:tcW w:type="dxa" w:w="4752"/>
          </w:tcPr>
          <w:p>
            <w:r/>
            <w:r>
              <w:rPr>
                <w:sz w:val="17"/>
              </w:rPr>
              <w:t>Authorization from user/resource attributes and policy, not fixed roles.</w:t>
            </w:r>
          </w:p>
        </w:tc>
      </w:tr>
      <w:tr>
        <w:tc>
          <w:tcPr>
            <w:tcW w:type="dxa" w:w="1368"/>
          </w:tcPr>
          <w:p>
            <w:r/>
            <w:r>
              <w:rPr>
                <w:b/>
                <w:sz w:val="17"/>
              </w:rPr>
              <w:t>C2</w:t>
            </w:r>
          </w:p>
        </w:tc>
        <w:tc>
          <w:tcPr>
            <w:tcW w:type="dxa" w:w="3240"/>
          </w:tcPr>
          <w:p>
            <w:r/>
            <w:r>
              <w:rPr>
                <w:sz w:val="17"/>
              </w:rPr>
              <w:t>Command and Control</w:t>
            </w:r>
          </w:p>
        </w:tc>
        <w:tc>
          <w:tcPr>
            <w:tcW w:type="dxa" w:w="4752"/>
          </w:tcPr>
          <w:p>
            <w:r/>
            <w:r>
              <w:rPr>
                <w:sz w:val="17"/>
              </w:rPr>
              <w:t>Attacker infrastructure that directs compromised hosts.</w:t>
            </w:r>
          </w:p>
        </w:tc>
      </w:tr>
      <w:tr>
        <w:tc>
          <w:tcPr>
            <w:tcW w:type="dxa" w:w="1368"/>
          </w:tcPr>
          <w:p>
            <w:r/>
            <w:r>
              <w:rPr>
                <w:b/>
                <w:sz w:val="17"/>
              </w:rPr>
              <w:t>CASB</w:t>
            </w:r>
          </w:p>
        </w:tc>
        <w:tc>
          <w:tcPr>
            <w:tcW w:type="dxa" w:w="3240"/>
          </w:tcPr>
          <w:p>
            <w:r/>
            <w:r>
              <w:rPr>
                <w:sz w:val="17"/>
              </w:rPr>
              <w:t>Cloud Access Security Broker</w:t>
            </w:r>
          </w:p>
        </w:tc>
        <w:tc>
          <w:tcPr>
            <w:tcW w:type="dxa" w:w="4752"/>
          </w:tcPr>
          <w:p>
            <w:r/>
            <w:r>
              <w:rPr>
                <w:sz w:val="17"/>
              </w:rPr>
              <w:t>Policy enforcement point between users and cloud services (part of SASE).</w:t>
            </w:r>
          </w:p>
        </w:tc>
      </w:tr>
      <w:tr>
        <w:tc>
          <w:tcPr>
            <w:tcW w:type="dxa" w:w="1368"/>
          </w:tcPr>
          <w:p>
            <w:r/>
            <w:r>
              <w:rPr>
                <w:b/>
                <w:sz w:val="17"/>
              </w:rPr>
              <w:t>DGA</w:t>
            </w:r>
          </w:p>
        </w:tc>
        <w:tc>
          <w:tcPr>
            <w:tcW w:type="dxa" w:w="3240"/>
          </w:tcPr>
          <w:p>
            <w:r/>
            <w:r>
              <w:rPr>
                <w:sz w:val="17"/>
              </w:rPr>
              <w:t>Domain Generation Algorithm</w:t>
            </w:r>
          </w:p>
        </w:tc>
        <w:tc>
          <w:tcPr>
            <w:tcW w:type="dxa" w:w="4752"/>
          </w:tcPr>
          <w:p>
            <w:r/>
            <w:r>
              <w:rPr>
                <w:sz w:val="17"/>
              </w:rPr>
              <w:t>Malware technique that auto-generates many domains to reach C2.</w:t>
            </w:r>
          </w:p>
        </w:tc>
      </w:tr>
      <w:tr>
        <w:tc>
          <w:tcPr>
            <w:tcW w:type="dxa" w:w="1368"/>
          </w:tcPr>
          <w:p>
            <w:r/>
            <w:r>
              <w:rPr>
                <w:b/>
                <w:sz w:val="17"/>
              </w:rPr>
              <w:t>DNS</w:t>
            </w:r>
          </w:p>
        </w:tc>
        <w:tc>
          <w:tcPr>
            <w:tcW w:type="dxa" w:w="3240"/>
          </w:tcPr>
          <w:p>
            <w:r/>
            <w:r>
              <w:rPr>
                <w:sz w:val="17"/>
              </w:rPr>
              <w:t>Domain Name System</w:t>
            </w:r>
          </w:p>
        </w:tc>
        <w:tc>
          <w:tcPr>
            <w:tcW w:type="dxa" w:w="4752"/>
          </w:tcPr>
          <w:p>
            <w:r/>
            <w:r>
              <w:rPr>
                <w:sz w:val="17"/>
              </w:rPr>
              <w:t>Resolves names to IP addresses; abused for tunneling and exfiltration.</w:t>
            </w:r>
          </w:p>
        </w:tc>
      </w:tr>
      <w:tr>
        <w:tc>
          <w:tcPr>
            <w:tcW w:type="dxa" w:w="1368"/>
          </w:tcPr>
          <w:p>
            <w:r/>
            <w:r>
              <w:rPr>
                <w:b/>
                <w:sz w:val="17"/>
              </w:rPr>
              <w:t>IdP</w:t>
            </w:r>
          </w:p>
        </w:tc>
        <w:tc>
          <w:tcPr>
            <w:tcW w:type="dxa" w:w="3240"/>
          </w:tcPr>
          <w:p>
            <w:r/>
            <w:r>
              <w:rPr>
                <w:sz w:val="17"/>
              </w:rPr>
              <w:t>Identity Provider</w:t>
            </w:r>
          </w:p>
        </w:tc>
        <w:tc>
          <w:tcPr>
            <w:tcW w:type="dxa" w:w="4752"/>
          </w:tcPr>
          <w:p>
            <w:r/>
            <w:r>
              <w:rPr>
                <w:sz w:val="17"/>
              </w:rPr>
              <w:t>Authenticates users and issues identity tokens (e.g., Okta, Microsoft Entra ID).</w:t>
            </w:r>
          </w:p>
        </w:tc>
      </w:tr>
      <w:tr>
        <w:tc>
          <w:tcPr>
            <w:tcW w:type="dxa" w:w="1368"/>
          </w:tcPr>
          <w:p>
            <w:r/>
            <w:r>
              <w:rPr>
                <w:b/>
                <w:sz w:val="17"/>
              </w:rPr>
              <w:t>IPS</w:t>
            </w:r>
          </w:p>
        </w:tc>
        <w:tc>
          <w:tcPr>
            <w:tcW w:type="dxa" w:w="3240"/>
          </w:tcPr>
          <w:p>
            <w:r/>
            <w:r>
              <w:rPr>
                <w:sz w:val="17"/>
              </w:rPr>
              <w:t>Intrusion Prevention System</w:t>
            </w:r>
          </w:p>
        </w:tc>
        <w:tc>
          <w:tcPr>
            <w:tcW w:type="dxa" w:w="4752"/>
          </w:tcPr>
          <w:p>
            <w:r/>
            <w:r>
              <w:rPr>
                <w:sz w:val="17"/>
              </w:rPr>
              <w:t>Inline sensor that detects and blocks known malicious traffic.</w:t>
            </w:r>
          </w:p>
        </w:tc>
      </w:tr>
      <w:tr>
        <w:tc>
          <w:tcPr>
            <w:tcW w:type="dxa" w:w="1368"/>
          </w:tcPr>
          <w:p>
            <w:r/>
            <w:r>
              <w:rPr>
                <w:b/>
                <w:sz w:val="17"/>
              </w:rPr>
              <w:t>NGFW</w:t>
            </w:r>
          </w:p>
        </w:tc>
        <w:tc>
          <w:tcPr>
            <w:tcW w:type="dxa" w:w="3240"/>
          </w:tcPr>
          <w:p>
            <w:r/>
            <w:r>
              <w:rPr>
                <w:sz w:val="17"/>
              </w:rPr>
              <w:t>Next-Generation Firewall</w:t>
            </w:r>
          </w:p>
        </w:tc>
        <w:tc>
          <w:tcPr>
            <w:tcW w:type="dxa" w:w="4752"/>
          </w:tcPr>
          <w:p>
            <w:r/>
            <w:r>
              <w:rPr>
                <w:sz w:val="17"/>
              </w:rPr>
              <w:t>Firewall adding application awareness, IPS, and deep packet inspection.</w:t>
            </w:r>
          </w:p>
        </w:tc>
      </w:tr>
      <w:tr>
        <w:tc>
          <w:tcPr>
            <w:tcW w:type="dxa" w:w="1368"/>
          </w:tcPr>
          <w:p>
            <w:r/>
            <w:r>
              <w:rPr>
                <w:b/>
                <w:sz w:val="17"/>
              </w:rPr>
              <w:t>RDP</w:t>
            </w:r>
          </w:p>
        </w:tc>
        <w:tc>
          <w:tcPr>
            <w:tcW w:type="dxa" w:w="3240"/>
          </w:tcPr>
          <w:p>
            <w:r/>
            <w:r>
              <w:rPr>
                <w:sz w:val="17"/>
              </w:rPr>
              <w:t>Remote Desktop Protocol</w:t>
            </w:r>
          </w:p>
        </w:tc>
        <w:tc>
          <w:tcPr>
            <w:tcW w:type="dxa" w:w="4752"/>
          </w:tcPr>
          <w:p>
            <w:r/>
            <w:r>
              <w:rPr>
                <w:sz w:val="17"/>
              </w:rPr>
              <w:t>Windows remote-desktop protocol; common lateral-movement path.</w:t>
            </w:r>
          </w:p>
        </w:tc>
      </w:tr>
      <w:tr>
        <w:tc>
          <w:tcPr>
            <w:tcW w:type="dxa" w:w="1368"/>
          </w:tcPr>
          <w:p>
            <w:r/>
            <w:r>
              <w:rPr>
                <w:b/>
                <w:sz w:val="17"/>
              </w:rPr>
              <w:t>SASE</w:t>
            </w:r>
          </w:p>
        </w:tc>
        <w:tc>
          <w:tcPr>
            <w:tcW w:type="dxa" w:w="3240"/>
          </w:tcPr>
          <w:p>
            <w:r/>
            <w:r>
              <w:rPr>
                <w:sz w:val="17"/>
              </w:rPr>
              <w:t>Secure Access Service Edge</w:t>
            </w:r>
          </w:p>
        </w:tc>
        <w:tc>
          <w:tcPr>
            <w:tcW w:type="dxa" w:w="4752"/>
          </w:tcPr>
          <w:p>
            <w:r/>
            <w:r>
              <w:rPr>
                <w:sz w:val="17"/>
              </w:rPr>
              <w:t>Cloud-delivered networking plus security (SD-WAN, ZTNA, SWG, CASB).</w:t>
            </w:r>
          </w:p>
        </w:tc>
      </w:tr>
      <w:tr>
        <w:tc>
          <w:tcPr>
            <w:tcW w:type="dxa" w:w="1368"/>
          </w:tcPr>
          <w:p>
            <w:r/>
            <w:r>
              <w:rPr>
                <w:b/>
                <w:sz w:val="17"/>
              </w:rPr>
              <w:t>SD-WAN</w:t>
            </w:r>
          </w:p>
        </w:tc>
        <w:tc>
          <w:tcPr>
            <w:tcW w:type="dxa" w:w="3240"/>
          </w:tcPr>
          <w:p>
            <w:r/>
            <w:r>
              <w:rPr>
                <w:sz w:val="17"/>
              </w:rPr>
              <w:t>Software-Defined Wide Area Network</w:t>
            </w:r>
          </w:p>
        </w:tc>
        <w:tc>
          <w:tcPr>
            <w:tcW w:type="dxa" w:w="4752"/>
          </w:tcPr>
          <w:p>
            <w:r/>
            <w:r>
              <w:rPr>
                <w:sz w:val="17"/>
              </w:rPr>
              <w:t>Policy-driven WAN connectivity (part of SASE).</w:t>
            </w:r>
          </w:p>
        </w:tc>
      </w:tr>
      <w:tr>
        <w:tc>
          <w:tcPr>
            <w:tcW w:type="dxa" w:w="1368"/>
          </w:tcPr>
          <w:p>
            <w:r/>
            <w:r>
              <w:rPr>
                <w:b/>
                <w:sz w:val="17"/>
              </w:rPr>
              <w:t>SMB</w:t>
            </w:r>
          </w:p>
        </w:tc>
        <w:tc>
          <w:tcPr>
            <w:tcW w:type="dxa" w:w="3240"/>
          </w:tcPr>
          <w:p>
            <w:r/>
            <w:r>
              <w:rPr>
                <w:sz w:val="17"/>
              </w:rPr>
              <w:t>Server Message Block</w:t>
            </w:r>
          </w:p>
        </w:tc>
        <w:tc>
          <w:tcPr>
            <w:tcW w:type="dxa" w:w="4752"/>
          </w:tcPr>
          <w:p>
            <w:r/>
            <w:r>
              <w:rPr>
                <w:sz w:val="17"/>
              </w:rPr>
              <w:t>Windows file/printer-sharing protocol; common lateral-movement path.</w:t>
            </w:r>
          </w:p>
        </w:tc>
      </w:tr>
      <w:tr>
        <w:tc>
          <w:tcPr>
            <w:tcW w:type="dxa" w:w="1368"/>
          </w:tcPr>
          <w:p>
            <w:r/>
            <w:r>
              <w:rPr>
                <w:b/>
                <w:sz w:val="17"/>
              </w:rPr>
              <w:t>SWG</w:t>
            </w:r>
          </w:p>
        </w:tc>
        <w:tc>
          <w:tcPr>
            <w:tcW w:type="dxa" w:w="3240"/>
          </w:tcPr>
          <w:p>
            <w:r/>
            <w:r>
              <w:rPr>
                <w:sz w:val="17"/>
              </w:rPr>
              <w:t>Secure Web Gateway</w:t>
            </w:r>
          </w:p>
        </w:tc>
        <w:tc>
          <w:tcPr>
            <w:tcW w:type="dxa" w:w="4752"/>
          </w:tcPr>
          <w:p>
            <w:r/>
            <w:r>
              <w:rPr>
                <w:sz w:val="17"/>
              </w:rPr>
              <w:t>Filters web traffic and enforces policy (part of SASE).</w:t>
            </w:r>
          </w:p>
        </w:tc>
      </w:tr>
      <w:tr>
        <w:tc>
          <w:tcPr>
            <w:tcW w:type="dxa" w:w="1368"/>
          </w:tcPr>
          <w:p>
            <w:r/>
            <w:r>
              <w:rPr>
                <w:b/>
                <w:sz w:val="17"/>
              </w:rPr>
              <w:t>VLAN</w:t>
            </w:r>
          </w:p>
        </w:tc>
        <w:tc>
          <w:tcPr>
            <w:tcW w:type="dxa" w:w="3240"/>
          </w:tcPr>
          <w:p>
            <w:r/>
            <w:r>
              <w:rPr>
                <w:sz w:val="17"/>
              </w:rPr>
              <w:t>Virtual Local Area Network</w:t>
            </w:r>
          </w:p>
        </w:tc>
        <w:tc>
          <w:tcPr>
            <w:tcW w:type="dxa" w:w="4752"/>
          </w:tcPr>
          <w:p>
            <w:r/>
            <w:r>
              <w:rPr>
                <w:sz w:val="17"/>
              </w:rPr>
              <w:t>Logical segmentation of a physical network.</w:t>
            </w:r>
          </w:p>
        </w:tc>
      </w:tr>
      <w:tr>
        <w:tc>
          <w:tcPr>
            <w:tcW w:type="dxa" w:w="1368"/>
          </w:tcPr>
          <w:p>
            <w:r/>
            <w:r>
              <w:rPr>
                <w:b/>
                <w:sz w:val="17"/>
              </w:rPr>
              <w:t>WAF</w:t>
            </w:r>
          </w:p>
        </w:tc>
        <w:tc>
          <w:tcPr>
            <w:tcW w:type="dxa" w:w="3240"/>
          </w:tcPr>
          <w:p>
            <w:r/>
            <w:r>
              <w:rPr>
                <w:sz w:val="17"/>
              </w:rPr>
              <w:t>Web Application Firewall</w:t>
            </w:r>
          </w:p>
        </w:tc>
        <w:tc>
          <w:tcPr>
            <w:tcW w:type="dxa" w:w="4752"/>
          </w:tcPr>
          <w:p>
            <w:r/>
            <w:r>
              <w:rPr>
                <w:sz w:val="17"/>
              </w:rPr>
              <w:t>Filters and monitors HTTP traffic to protect web apps and APIs.</w:t>
            </w:r>
          </w:p>
        </w:tc>
      </w:tr>
      <w:tr>
        <w:tc>
          <w:tcPr>
            <w:tcW w:type="dxa" w:w="1368"/>
          </w:tcPr>
          <w:p>
            <w:r/>
            <w:r>
              <w:rPr>
                <w:b/>
                <w:sz w:val="17"/>
              </w:rPr>
              <w:t>WinRM</w:t>
            </w:r>
          </w:p>
        </w:tc>
        <w:tc>
          <w:tcPr>
            <w:tcW w:type="dxa" w:w="3240"/>
          </w:tcPr>
          <w:p>
            <w:r/>
            <w:r>
              <w:rPr>
                <w:sz w:val="17"/>
              </w:rPr>
              <w:t>Windows Remote Management</w:t>
            </w:r>
          </w:p>
        </w:tc>
        <w:tc>
          <w:tcPr>
            <w:tcW w:type="dxa" w:w="4752"/>
          </w:tcPr>
          <w:p>
            <w:r/>
            <w:r>
              <w:rPr>
                <w:sz w:val="17"/>
              </w:rPr>
              <w:t>Windows remote-management protocol; lateral-movement path.</w:t>
            </w:r>
          </w:p>
        </w:tc>
      </w:tr>
      <w:tr>
        <w:tc>
          <w:tcPr>
            <w:tcW w:type="dxa" w:w="1368"/>
          </w:tcPr>
          <w:p>
            <w:r/>
            <w:r>
              <w:rPr>
                <w:b/>
                <w:sz w:val="17"/>
              </w:rPr>
              <w:t>ZTNA</w:t>
            </w:r>
          </w:p>
        </w:tc>
        <w:tc>
          <w:tcPr>
            <w:tcW w:type="dxa" w:w="3240"/>
          </w:tcPr>
          <w:p>
            <w:r/>
            <w:r>
              <w:rPr>
                <w:sz w:val="17"/>
              </w:rPr>
              <w:t>Zero Trust Network Access</w:t>
            </w:r>
          </w:p>
        </w:tc>
        <w:tc>
          <w:tcPr>
            <w:tcW w:type="dxa" w:w="4752"/>
          </w:tcPr>
          <w:p>
            <w:r/>
            <w:r>
              <w:rPr>
                <w:sz w:val="17"/>
              </w:rPr>
              <w:t>Identity-aware, least-privilege application access (part of SASE).</w:t>
            </w:r>
          </w:p>
        </w:tc>
      </w:tr>
    </w:tbl>
    <w:p>
      <w:pPr>
        <w:spacing w:before="120" w:after="40"/>
      </w:pPr>
      <w:r>
        <w:rPr>
          <w:b/>
          <w:color w:val="2E75B6"/>
          <w:sz w:val="22"/>
        </w:rPr>
        <w:t>Detection and Analytics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1368"/>
          </w:tcPr>
          <w:p>
            <w:r/>
            <w:r>
              <w:rPr>
                <w:b/>
                <w:sz w:val="17"/>
              </w:rPr>
              <w:t>Acronym</w:t>
            </w:r>
          </w:p>
        </w:tc>
        <w:tc>
          <w:tcPr>
            <w:tcW w:type="dxa" w:w="3240"/>
          </w:tcPr>
          <w:p>
            <w:r/>
            <w:r>
              <w:rPr>
                <w:b/>
                <w:sz w:val="17"/>
              </w:rPr>
              <w:t>Term</w:t>
            </w:r>
          </w:p>
        </w:tc>
        <w:tc>
          <w:tcPr>
            <w:tcW w:type="dxa" w:w="4752"/>
          </w:tcPr>
          <w:p>
            <w:r/>
            <w:r>
              <w:rPr>
                <w:b/>
                <w:sz w:val="17"/>
              </w:rPr>
              <w:t>Meaning</w:t>
            </w:r>
          </w:p>
        </w:tc>
      </w:tr>
      <w:tr>
        <w:tc>
          <w:tcPr>
            <w:tcW w:type="dxa" w:w="1368"/>
          </w:tcPr>
          <w:p>
            <w:r/>
            <w:r>
              <w:rPr>
                <w:b/>
                <w:sz w:val="17"/>
              </w:rPr>
              <w:t>ATT&amp;CK</w:t>
            </w:r>
          </w:p>
        </w:tc>
        <w:tc>
          <w:tcPr>
            <w:tcW w:type="dxa" w:w="3240"/>
          </w:tcPr>
          <w:p>
            <w:r/>
            <w:r>
              <w:rPr>
                <w:sz w:val="17"/>
              </w:rPr>
              <w:t>MITRE ATT&amp;CK</w:t>
            </w:r>
          </w:p>
        </w:tc>
        <w:tc>
          <w:tcPr>
            <w:tcW w:type="dxa" w:w="4752"/>
          </w:tcPr>
          <w:p>
            <w:r/>
            <w:r>
              <w:rPr>
                <w:sz w:val="17"/>
              </w:rPr>
              <w:t>MITRE's knowledge base of adversary tactics and techniques.</w:t>
            </w:r>
          </w:p>
        </w:tc>
      </w:tr>
      <w:tr>
        <w:tc>
          <w:tcPr>
            <w:tcW w:type="dxa" w:w="1368"/>
          </w:tcPr>
          <w:p>
            <w:r/>
            <w:r>
              <w:rPr>
                <w:b/>
                <w:sz w:val="17"/>
              </w:rPr>
              <w:t>ATLAS</w:t>
            </w:r>
          </w:p>
        </w:tc>
        <w:tc>
          <w:tcPr>
            <w:tcW w:type="dxa" w:w="3240"/>
          </w:tcPr>
          <w:p>
            <w:r/>
            <w:r>
              <w:rPr>
                <w:sz w:val="17"/>
              </w:rPr>
              <w:t>MITRE ATLAS</w:t>
            </w:r>
          </w:p>
        </w:tc>
        <w:tc>
          <w:tcPr>
            <w:tcW w:type="dxa" w:w="4752"/>
          </w:tcPr>
          <w:p>
            <w:r/>
            <w:r>
              <w:rPr>
                <w:sz w:val="17"/>
              </w:rPr>
              <w:t>MITRE's adversarial-threat framework for AI/ML systems.</w:t>
            </w:r>
          </w:p>
        </w:tc>
      </w:tr>
      <w:tr>
        <w:tc>
          <w:tcPr>
            <w:tcW w:type="dxa" w:w="1368"/>
          </w:tcPr>
          <w:p>
            <w:r/>
            <w:r>
              <w:rPr>
                <w:b/>
                <w:sz w:val="17"/>
              </w:rPr>
              <w:t>BEI</w:t>
            </w:r>
          </w:p>
        </w:tc>
        <w:tc>
          <w:tcPr>
            <w:tcW w:type="dxa" w:w="3240"/>
          </w:tcPr>
          <w:p>
            <w:r/>
            <w:r>
              <w:rPr>
                <w:sz w:val="17"/>
              </w:rPr>
              <w:t>Behavioral Entity Intelligence</w:t>
            </w:r>
          </w:p>
        </w:tc>
        <w:tc>
          <w:tcPr>
            <w:tcW w:type="dxa" w:w="4752"/>
          </w:tcPr>
          <w:p>
            <w:r/>
            <w:r>
              <w:rPr>
                <w:sz w:val="17"/>
              </w:rPr>
              <w:t>22nd Century's behavioral-twin detection approach (the Layer 2 product).</w:t>
            </w:r>
          </w:p>
        </w:tc>
      </w:tr>
      <w:tr>
        <w:tc>
          <w:tcPr>
            <w:tcW w:type="dxa" w:w="1368"/>
          </w:tcPr>
          <w:p>
            <w:r/>
            <w:r>
              <w:rPr>
                <w:b/>
                <w:sz w:val="17"/>
              </w:rPr>
              <w:t>CUSUM</w:t>
            </w:r>
          </w:p>
        </w:tc>
        <w:tc>
          <w:tcPr>
            <w:tcW w:type="dxa" w:w="3240"/>
          </w:tcPr>
          <w:p>
            <w:r/>
            <w:r>
              <w:rPr>
                <w:sz w:val="17"/>
              </w:rPr>
              <w:t>Cumulative Sum</w:t>
            </w:r>
          </w:p>
        </w:tc>
        <w:tc>
          <w:tcPr>
            <w:tcW w:type="dxa" w:w="4752"/>
          </w:tcPr>
          <w:p>
            <w:r/>
            <w:r>
              <w:rPr>
                <w:sz w:val="17"/>
              </w:rPr>
              <w:t>Change-point method that accumulates small drifts to detect slow, sustained change.</w:t>
            </w:r>
          </w:p>
        </w:tc>
      </w:tr>
      <w:tr>
        <w:tc>
          <w:tcPr>
            <w:tcW w:type="dxa" w:w="1368"/>
          </w:tcPr>
          <w:p>
            <w:r/>
            <w:r>
              <w:rPr>
                <w:b/>
                <w:sz w:val="17"/>
              </w:rPr>
              <w:t>iForest</w:t>
            </w:r>
          </w:p>
        </w:tc>
        <w:tc>
          <w:tcPr>
            <w:tcW w:type="dxa" w:w="3240"/>
          </w:tcPr>
          <w:p>
            <w:r/>
            <w:r>
              <w:rPr>
                <w:sz w:val="17"/>
              </w:rPr>
              <w:t>Isolation Forest</w:t>
            </w:r>
          </w:p>
        </w:tc>
        <w:tc>
          <w:tcPr>
            <w:tcW w:type="dxa" w:w="4752"/>
          </w:tcPr>
          <w:p>
            <w:r/>
            <w:r>
              <w:rPr>
                <w:sz w:val="17"/>
              </w:rPr>
              <w:t>Classical tree-based anomaly-detection algorithm (a baseline here).</w:t>
            </w:r>
          </w:p>
        </w:tc>
      </w:tr>
      <w:tr>
        <w:tc>
          <w:tcPr>
            <w:tcW w:type="dxa" w:w="1368"/>
          </w:tcPr>
          <w:p>
            <w:r/>
            <w:r>
              <w:rPr>
                <w:b/>
                <w:sz w:val="17"/>
              </w:rPr>
              <w:t>LOF</w:t>
            </w:r>
          </w:p>
        </w:tc>
        <w:tc>
          <w:tcPr>
            <w:tcW w:type="dxa" w:w="3240"/>
          </w:tcPr>
          <w:p>
            <w:r/>
            <w:r>
              <w:rPr>
                <w:sz w:val="17"/>
              </w:rPr>
              <w:t>Local Outlier Factor</w:t>
            </w:r>
          </w:p>
        </w:tc>
        <w:tc>
          <w:tcPr>
            <w:tcW w:type="dxa" w:w="4752"/>
          </w:tcPr>
          <w:p>
            <w:r/>
            <w:r>
              <w:rPr>
                <w:sz w:val="17"/>
              </w:rPr>
              <w:t>Classical density-based anomaly-detection algorithm (a baseline here).</w:t>
            </w:r>
          </w:p>
        </w:tc>
      </w:tr>
      <w:tr>
        <w:tc>
          <w:tcPr>
            <w:tcW w:type="dxa" w:w="1368"/>
          </w:tcPr>
          <w:p>
            <w:r/>
            <w:r>
              <w:rPr>
                <w:b/>
                <w:sz w:val="17"/>
              </w:rPr>
              <w:t>LOTL</w:t>
            </w:r>
          </w:p>
        </w:tc>
        <w:tc>
          <w:tcPr>
            <w:tcW w:type="dxa" w:w="3240"/>
          </w:tcPr>
          <w:p>
            <w:r/>
            <w:r>
              <w:rPr>
                <w:sz w:val="17"/>
              </w:rPr>
              <w:t>Living off the Land</w:t>
            </w:r>
          </w:p>
        </w:tc>
        <w:tc>
          <w:tcPr>
            <w:tcW w:type="dxa" w:w="4752"/>
          </w:tcPr>
          <w:p>
            <w:r/>
            <w:r>
              <w:rPr>
                <w:sz w:val="17"/>
              </w:rPr>
              <w:t>Attacks using built-in OS tools only, with no malware deployed.</w:t>
            </w:r>
          </w:p>
        </w:tc>
      </w:tr>
      <w:tr>
        <w:tc>
          <w:tcPr>
            <w:tcW w:type="dxa" w:w="1368"/>
          </w:tcPr>
          <w:p>
            <w:r/>
            <w:r>
              <w:rPr>
                <w:b/>
                <w:sz w:val="17"/>
              </w:rPr>
              <w:t>OC-SVM</w:t>
            </w:r>
          </w:p>
        </w:tc>
        <w:tc>
          <w:tcPr>
            <w:tcW w:type="dxa" w:w="3240"/>
          </w:tcPr>
          <w:p>
            <w:r/>
            <w:r>
              <w:rPr>
                <w:sz w:val="17"/>
              </w:rPr>
              <w:t>One-Class Support Vector Machine</w:t>
            </w:r>
          </w:p>
        </w:tc>
        <w:tc>
          <w:tcPr>
            <w:tcW w:type="dxa" w:w="4752"/>
          </w:tcPr>
          <w:p>
            <w:r/>
            <w:r>
              <w:rPr>
                <w:sz w:val="17"/>
              </w:rPr>
              <w:t>Classical anomaly-detection algorithm (a baseline here).</w:t>
            </w:r>
          </w:p>
        </w:tc>
      </w:tr>
      <w:tr>
        <w:tc>
          <w:tcPr>
            <w:tcW w:type="dxa" w:w="1368"/>
          </w:tcPr>
          <w:p>
            <w:r/>
            <w:r>
              <w:rPr>
                <w:b/>
                <w:sz w:val="17"/>
              </w:rPr>
              <w:t>SOC</w:t>
            </w:r>
          </w:p>
        </w:tc>
        <w:tc>
          <w:tcPr>
            <w:tcW w:type="dxa" w:w="3240"/>
          </w:tcPr>
          <w:p>
            <w:r/>
            <w:r>
              <w:rPr>
                <w:sz w:val="17"/>
              </w:rPr>
              <w:t>Security Operations Center</w:t>
            </w:r>
          </w:p>
        </w:tc>
        <w:tc>
          <w:tcPr>
            <w:tcW w:type="dxa" w:w="4752"/>
          </w:tcPr>
          <w:p>
            <w:r/>
            <w:r>
              <w:rPr>
                <w:sz w:val="17"/>
              </w:rPr>
              <w:t>The team and facility that monitor and respond to threats.</w:t>
            </w:r>
          </w:p>
        </w:tc>
      </w:tr>
      <w:tr>
        <w:tc>
          <w:tcPr>
            <w:tcW w:type="dxa" w:w="1368"/>
          </w:tcPr>
          <w:p>
            <w:r/>
            <w:r>
              <w:rPr>
                <w:b/>
                <w:sz w:val="17"/>
              </w:rPr>
              <w:t>T-codes</w:t>
            </w:r>
          </w:p>
        </w:tc>
        <w:tc>
          <w:tcPr>
            <w:tcW w:type="dxa" w:w="3240"/>
          </w:tcPr>
          <w:p>
            <w:r/>
            <w:r>
              <w:rPr>
                <w:sz w:val="17"/>
              </w:rPr>
              <w:t>MITRE technique IDs</w:t>
            </w:r>
          </w:p>
        </w:tc>
        <w:tc>
          <w:tcPr>
            <w:tcW w:type="dxa" w:w="4752"/>
          </w:tcPr>
          <w:p>
            <w:r/>
            <w:r>
              <w:rPr>
                <w:sz w:val="17"/>
              </w:rPr>
              <w:t>Numbered ATT&amp;CK techniques; e.g., T1078 = Valid Accounts.</w:t>
            </w:r>
          </w:p>
        </w:tc>
      </w:tr>
      <w:tr>
        <w:tc>
          <w:tcPr>
            <w:tcW w:type="dxa" w:w="1368"/>
          </w:tcPr>
          <w:p>
            <w:r/>
            <w:r>
              <w:rPr>
                <w:b/>
                <w:sz w:val="17"/>
              </w:rPr>
              <w:t>UEBA</w:t>
            </w:r>
          </w:p>
        </w:tc>
        <w:tc>
          <w:tcPr>
            <w:tcW w:type="dxa" w:w="3240"/>
          </w:tcPr>
          <w:p>
            <w:r/>
            <w:r>
              <w:rPr>
                <w:sz w:val="17"/>
              </w:rPr>
              <w:t>User and Entity Behavior Analytics</w:t>
            </w:r>
          </w:p>
        </w:tc>
        <w:tc>
          <w:tcPr>
            <w:tcW w:type="dxa" w:w="4752"/>
          </w:tcPr>
          <w:p>
            <w:r/>
            <w:r>
              <w:rPr>
                <w:sz w:val="17"/>
              </w:rPr>
              <w:t>Detecting threats by modeling normal behavior and flagging deviation.</w:t>
            </w:r>
          </w:p>
        </w:tc>
      </w:tr>
      <w:tr>
        <w:tc>
          <w:tcPr>
            <w:tcW w:type="dxa" w:w="1368"/>
          </w:tcPr>
          <w:p>
            <w:r/>
            <w:r>
              <w:rPr>
                <w:b/>
                <w:sz w:val="17"/>
              </w:rPr>
              <w:t>z-score</w:t>
            </w:r>
          </w:p>
        </w:tc>
        <w:tc>
          <w:tcPr>
            <w:tcW w:type="dxa" w:w="3240"/>
          </w:tcPr>
          <w:p>
            <w:r/>
            <w:r>
              <w:rPr>
                <w:sz w:val="17"/>
              </w:rPr>
              <w:t>Standard score</w:t>
            </w:r>
          </w:p>
        </w:tc>
        <w:tc>
          <w:tcPr>
            <w:tcW w:type="dxa" w:w="4752"/>
          </w:tcPr>
          <w:p>
            <w:r/>
            <w:r>
              <w:rPr>
                <w:sz w:val="17"/>
              </w:rPr>
              <w:t>Number of standard deviations a value sits from its group mean.</w:t>
            </w:r>
          </w:p>
        </w:tc>
      </w:tr>
    </w:tbl>
    <w:p>
      <w:pPr>
        <w:spacing w:before="120" w:after="40"/>
      </w:pPr>
      <w:r>
        <w:rPr>
          <w:b/>
          <w:color w:val="2E75B6"/>
          <w:sz w:val="22"/>
        </w:rPr>
        <w:t>Application, API and Data</w:t>
      </w:r>
    </w:p>
    <w:tbl>
      <w:tblPr>
        <w:tblStyle w:val="LightGrid-Accent1"/>
        <w:tblW w:type="auto" w:w="0"/>
        <w:jc w:val="center"/>
        <w:tblLook w:firstColumn="1" w:firstRow="1" w:lastColumn="0" w:lastRow="0" w:noHBand="0" w:noVBand="1" w:val="04A0"/>
      </w:tblPr>
      <w:tblGrid>
        <w:gridCol w:w="2880"/>
        <w:gridCol w:w="2880"/>
        <w:gridCol w:w="2880"/>
      </w:tblGrid>
      <w:tr>
        <w:tc>
          <w:tcPr>
            <w:tcW w:type="dxa" w:w="1368"/>
          </w:tcPr>
          <w:p>
            <w:r/>
            <w:r>
              <w:rPr>
                <w:b/>
                <w:sz w:val="17"/>
              </w:rPr>
              <w:t>Acronym</w:t>
            </w:r>
          </w:p>
        </w:tc>
        <w:tc>
          <w:tcPr>
            <w:tcW w:type="dxa" w:w="3240"/>
          </w:tcPr>
          <w:p>
            <w:r/>
            <w:r>
              <w:rPr>
                <w:b/>
                <w:sz w:val="17"/>
              </w:rPr>
              <w:t>Term</w:t>
            </w:r>
          </w:p>
        </w:tc>
        <w:tc>
          <w:tcPr>
            <w:tcW w:type="dxa" w:w="4752"/>
          </w:tcPr>
          <w:p>
            <w:r/>
            <w:r>
              <w:rPr>
                <w:b/>
                <w:sz w:val="17"/>
              </w:rPr>
              <w:t>Meaning</w:t>
            </w:r>
          </w:p>
        </w:tc>
      </w:tr>
      <w:tr>
        <w:tc>
          <w:tcPr>
            <w:tcW w:type="dxa" w:w="1368"/>
          </w:tcPr>
          <w:p>
            <w:r/>
            <w:r>
              <w:rPr>
                <w:b/>
                <w:sz w:val="17"/>
              </w:rPr>
              <w:t>API</w:t>
            </w:r>
          </w:p>
        </w:tc>
        <w:tc>
          <w:tcPr>
            <w:tcW w:type="dxa" w:w="3240"/>
          </w:tcPr>
          <w:p>
            <w:r/>
            <w:r>
              <w:rPr>
                <w:sz w:val="17"/>
              </w:rPr>
              <w:t>Application Programming Interface</w:t>
            </w:r>
          </w:p>
        </w:tc>
        <w:tc>
          <w:tcPr>
            <w:tcW w:type="dxa" w:w="4752"/>
          </w:tcPr>
          <w:p>
            <w:r/>
            <w:r>
              <w:rPr>
                <w:sz w:val="17"/>
              </w:rPr>
              <w:t>Interface through which systems and AI agents exchange data.</w:t>
            </w:r>
          </w:p>
        </w:tc>
      </w:tr>
      <w:tr>
        <w:tc>
          <w:tcPr>
            <w:tcW w:type="dxa" w:w="1368"/>
          </w:tcPr>
          <w:p>
            <w:r/>
            <w:r>
              <w:rPr>
                <w:b/>
                <w:sz w:val="17"/>
              </w:rPr>
              <w:t>ASPM</w:t>
            </w:r>
          </w:p>
        </w:tc>
        <w:tc>
          <w:tcPr>
            <w:tcW w:type="dxa" w:w="3240"/>
          </w:tcPr>
          <w:p>
            <w:r/>
            <w:r>
              <w:rPr>
                <w:sz w:val="17"/>
              </w:rPr>
              <w:t>Application Security Posture Management</w:t>
            </w:r>
          </w:p>
        </w:tc>
        <w:tc>
          <w:tcPr>
            <w:tcW w:type="dxa" w:w="4752"/>
          </w:tcPr>
          <w:p>
            <w:r/>
            <w:r>
              <w:rPr>
                <w:sz w:val="17"/>
              </w:rPr>
              <w:t>Aggregates and prioritizes application-security findings.</w:t>
            </w:r>
          </w:p>
        </w:tc>
      </w:tr>
      <w:tr>
        <w:tc>
          <w:tcPr>
            <w:tcW w:type="dxa" w:w="1368"/>
          </w:tcPr>
          <w:p>
            <w:r/>
            <w:r>
              <w:rPr>
                <w:b/>
                <w:sz w:val="17"/>
              </w:rPr>
              <w:t>BOLA</w:t>
            </w:r>
          </w:p>
        </w:tc>
        <w:tc>
          <w:tcPr>
            <w:tcW w:type="dxa" w:w="3240"/>
          </w:tcPr>
          <w:p>
            <w:r/>
            <w:r>
              <w:rPr>
                <w:sz w:val="17"/>
              </w:rPr>
              <w:t>Broken Object Level Authorization</w:t>
            </w:r>
          </w:p>
        </w:tc>
        <w:tc>
          <w:tcPr>
            <w:tcW w:type="dxa" w:w="4752"/>
          </w:tcPr>
          <w:p>
            <w:r/>
            <w:r>
              <w:rPr>
                <w:sz w:val="17"/>
              </w:rPr>
              <w:t>Top API flaw: accessing another user's objects through the API.</w:t>
            </w:r>
          </w:p>
        </w:tc>
      </w:tr>
      <w:tr>
        <w:tc>
          <w:tcPr>
            <w:tcW w:type="dxa" w:w="1368"/>
          </w:tcPr>
          <w:p>
            <w:r/>
            <w:r>
              <w:rPr>
                <w:b/>
                <w:sz w:val="17"/>
              </w:rPr>
              <w:t>HMAC</w:t>
            </w:r>
          </w:p>
        </w:tc>
        <w:tc>
          <w:tcPr>
            <w:tcW w:type="dxa" w:w="3240"/>
          </w:tcPr>
          <w:p>
            <w:r/>
            <w:r>
              <w:rPr>
                <w:sz w:val="17"/>
              </w:rPr>
              <w:t>Hash-based Message Authentication Code</w:t>
            </w:r>
          </w:p>
        </w:tc>
        <w:tc>
          <w:tcPr>
            <w:tcW w:type="dxa" w:w="4752"/>
          </w:tcPr>
          <w:p>
            <w:r/>
            <w:r>
              <w:rPr>
                <w:sz w:val="17"/>
              </w:rPr>
              <w:t>Keyed hash used to make records tamper-evident.</w:t>
            </w:r>
          </w:p>
        </w:tc>
      </w:tr>
      <w:tr>
        <w:tc>
          <w:tcPr>
            <w:tcW w:type="dxa" w:w="1368"/>
          </w:tcPr>
          <w:p>
            <w:r/>
            <w:r>
              <w:rPr>
                <w:b/>
                <w:sz w:val="17"/>
              </w:rPr>
              <w:t>MFA</w:t>
            </w:r>
          </w:p>
        </w:tc>
        <w:tc>
          <w:tcPr>
            <w:tcW w:type="dxa" w:w="3240"/>
          </w:tcPr>
          <w:p>
            <w:r/>
            <w:r>
              <w:rPr>
                <w:sz w:val="17"/>
              </w:rPr>
              <w:t>Multi-Factor Authentication</w:t>
            </w:r>
          </w:p>
        </w:tc>
        <w:tc>
          <w:tcPr>
            <w:tcW w:type="dxa" w:w="4752"/>
          </w:tcPr>
          <w:p>
            <w:r/>
            <w:r>
              <w:rPr>
                <w:sz w:val="17"/>
              </w:rPr>
              <w:t>Authentication requiring more than one independent factor.</w:t>
            </w:r>
          </w:p>
        </w:tc>
      </w:tr>
      <w:tr>
        <w:tc>
          <w:tcPr>
            <w:tcW w:type="dxa" w:w="1368"/>
          </w:tcPr>
          <w:p>
            <w:r/>
            <w:r>
              <w:rPr>
                <w:b/>
                <w:sz w:val="17"/>
              </w:rPr>
              <w:t>PII</w:t>
            </w:r>
          </w:p>
        </w:tc>
        <w:tc>
          <w:tcPr>
            <w:tcW w:type="dxa" w:w="3240"/>
          </w:tcPr>
          <w:p>
            <w:r/>
            <w:r>
              <w:rPr>
                <w:sz w:val="17"/>
              </w:rPr>
              <w:t>Personally Identifiable Information</w:t>
            </w:r>
          </w:p>
        </w:tc>
        <w:tc>
          <w:tcPr>
            <w:tcW w:type="dxa" w:w="4752"/>
          </w:tcPr>
          <w:p>
            <w:r/>
            <w:r>
              <w:rPr>
                <w:sz w:val="17"/>
              </w:rPr>
              <w:t>Data that identifies an individual; not held in the behavioral vector.</w:t>
            </w:r>
          </w:p>
        </w:tc>
      </w:tr>
    </w:tbl>
    <w:p>
      <w:pPr>
        <w:spacing w:before="120" w:after="40"/>
      </w:pPr>
      <w:r>
        <w:rPr>
          <w:b/>
          <w:color w:val="2E75B6"/>
          <w:sz w:val="22"/>
        </w:rPr>
        <w:t>Code and Supply Chain</w:t>
      </w:r>
    </w:p>
    <w:tbl>
      <w:tblPr>
        <w:tblStyle w:val="LightGrid-Accent1"/>
        <w:tblW w:type="auto" w:w="0"/>
        <w:jc w:val="center"/>
        <w:tblLook w:firstColumn="1" w:firstRow="1" w:lastColumn="0" w:lastRow="0" w:noHBand="0" w:noVBand="1" w:val="04A0"/>
      </w:tblPr>
      <w:tblGrid>
        <w:gridCol w:w="2880"/>
        <w:gridCol w:w="2880"/>
        <w:gridCol w:w="2880"/>
      </w:tblGrid>
      <w:tr>
        <w:tc>
          <w:tcPr>
            <w:tcW w:type="dxa" w:w="1368"/>
          </w:tcPr>
          <w:p>
            <w:r/>
            <w:r>
              <w:rPr>
                <w:b/>
                <w:sz w:val="17"/>
              </w:rPr>
              <w:t>Acronym</w:t>
            </w:r>
          </w:p>
        </w:tc>
        <w:tc>
          <w:tcPr>
            <w:tcW w:type="dxa" w:w="3240"/>
          </w:tcPr>
          <w:p>
            <w:r/>
            <w:r>
              <w:rPr>
                <w:b/>
                <w:sz w:val="17"/>
              </w:rPr>
              <w:t>Term</w:t>
            </w:r>
          </w:p>
        </w:tc>
        <w:tc>
          <w:tcPr>
            <w:tcW w:type="dxa" w:w="4752"/>
          </w:tcPr>
          <w:p>
            <w:r/>
            <w:r>
              <w:rPr>
                <w:b/>
                <w:sz w:val="17"/>
              </w:rPr>
              <w:t>Meaning</w:t>
            </w:r>
          </w:p>
        </w:tc>
      </w:tr>
      <w:tr>
        <w:tc>
          <w:tcPr>
            <w:tcW w:type="dxa" w:w="1368"/>
          </w:tcPr>
          <w:p>
            <w:r/>
            <w:r>
              <w:rPr>
                <w:b/>
                <w:sz w:val="17"/>
              </w:rPr>
              <w:t>CI/CD</w:t>
            </w:r>
          </w:p>
        </w:tc>
        <w:tc>
          <w:tcPr>
            <w:tcW w:type="dxa" w:w="3240"/>
          </w:tcPr>
          <w:p>
            <w:r/>
            <w:r>
              <w:rPr>
                <w:sz w:val="17"/>
              </w:rPr>
              <w:t>Continuous Integration / Continuous Delivery</w:t>
            </w:r>
          </w:p>
        </w:tc>
        <w:tc>
          <w:tcPr>
            <w:tcW w:type="dxa" w:w="4752"/>
          </w:tcPr>
          <w:p>
            <w:r/>
            <w:r>
              <w:rPr>
                <w:sz w:val="17"/>
              </w:rPr>
              <w:t>Automated build, test, and deploy pipeline.</w:t>
            </w:r>
          </w:p>
        </w:tc>
      </w:tr>
      <w:tr>
        <w:tc>
          <w:tcPr>
            <w:tcW w:type="dxa" w:w="1368"/>
          </w:tcPr>
          <w:p>
            <w:r/>
            <w:r>
              <w:rPr>
                <w:b/>
                <w:sz w:val="17"/>
              </w:rPr>
              <w:t>CVE</w:t>
            </w:r>
          </w:p>
        </w:tc>
        <w:tc>
          <w:tcPr>
            <w:tcW w:type="dxa" w:w="3240"/>
          </w:tcPr>
          <w:p>
            <w:r/>
            <w:r>
              <w:rPr>
                <w:sz w:val="17"/>
              </w:rPr>
              <w:t>Common Vulnerabilities and Exposures</w:t>
            </w:r>
          </w:p>
        </w:tc>
        <w:tc>
          <w:tcPr>
            <w:tcW w:type="dxa" w:w="4752"/>
          </w:tcPr>
          <w:p>
            <w:r/>
            <w:r>
              <w:rPr>
                <w:sz w:val="17"/>
              </w:rPr>
              <w:t>Public catalog of known, disclosed vulnerabilities.</w:t>
            </w:r>
          </w:p>
        </w:tc>
      </w:tr>
      <w:tr>
        <w:tc>
          <w:tcPr>
            <w:tcW w:type="dxa" w:w="1368"/>
          </w:tcPr>
          <w:p>
            <w:r/>
            <w:r>
              <w:rPr>
                <w:b/>
                <w:sz w:val="17"/>
              </w:rPr>
              <w:t>DAST</w:t>
            </w:r>
          </w:p>
        </w:tc>
        <w:tc>
          <w:tcPr>
            <w:tcW w:type="dxa" w:w="3240"/>
          </w:tcPr>
          <w:p>
            <w:r/>
            <w:r>
              <w:rPr>
                <w:sz w:val="17"/>
              </w:rPr>
              <w:t>Dynamic Application Security Testing</w:t>
            </w:r>
          </w:p>
        </w:tc>
        <w:tc>
          <w:tcPr>
            <w:tcW w:type="dxa" w:w="4752"/>
          </w:tcPr>
          <w:p>
            <w:r/>
            <w:r>
              <w:rPr>
                <w:sz w:val="17"/>
              </w:rPr>
              <w:t>Tests a running application for vulnerabilities.</w:t>
            </w:r>
          </w:p>
        </w:tc>
      </w:tr>
      <w:tr>
        <w:tc>
          <w:tcPr>
            <w:tcW w:type="dxa" w:w="1368"/>
          </w:tcPr>
          <w:p>
            <w:r/>
            <w:r>
              <w:rPr>
                <w:b/>
                <w:sz w:val="17"/>
              </w:rPr>
              <w:t>IaC</w:t>
            </w:r>
          </w:p>
        </w:tc>
        <w:tc>
          <w:tcPr>
            <w:tcW w:type="dxa" w:w="3240"/>
          </w:tcPr>
          <w:p>
            <w:r/>
            <w:r>
              <w:rPr>
                <w:sz w:val="17"/>
              </w:rPr>
              <w:t>Infrastructure as Code</w:t>
            </w:r>
          </w:p>
        </w:tc>
        <w:tc>
          <w:tcPr>
            <w:tcW w:type="dxa" w:w="4752"/>
          </w:tcPr>
          <w:p>
            <w:r/>
            <w:r>
              <w:rPr>
                <w:sz w:val="17"/>
              </w:rPr>
              <w:t>Provisioning infrastructure via machine-readable definition files.</w:t>
            </w:r>
          </w:p>
        </w:tc>
      </w:tr>
      <w:tr>
        <w:tc>
          <w:tcPr>
            <w:tcW w:type="dxa" w:w="1368"/>
          </w:tcPr>
          <w:p>
            <w:r/>
            <w:r>
              <w:rPr>
                <w:b/>
                <w:sz w:val="17"/>
              </w:rPr>
              <w:t>RCE</w:t>
            </w:r>
          </w:p>
        </w:tc>
        <w:tc>
          <w:tcPr>
            <w:tcW w:type="dxa" w:w="3240"/>
          </w:tcPr>
          <w:p>
            <w:r/>
            <w:r>
              <w:rPr>
                <w:sz w:val="17"/>
              </w:rPr>
              <w:t>Remote Code Execution</w:t>
            </w:r>
          </w:p>
        </w:tc>
        <w:tc>
          <w:tcPr>
            <w:tcW w:type="dxa" w:w="4752"/>
          </w:tcPr>
          <w:p>
            <w:r/>
            <w:r>
              <w:rPr>
                <w:sz w:val="17"/>
              </w:rPr>
              <w:t>Vulnerability allowing an attacker to run code remotely.</w:t>
            </w:r>
          </w:p>
        </w:tc>
      </w:tr>
      <w:tr>
        <w:tc>
          <w:tcPr>
            <w:tcW w:type="dxa" w:w="1368"/>
          </w:tcPr>
          <w:p>
            <w:r/>
            <w:r>
              <w:rPr>
                <w:b/>
                <w:sz w:val="17"/>
              </w:rPr>
              <w:t>SAST</w:t>
            </w:r>
          </w:p>
        </w:tc>
        <w:tc>
          <w:tcPr>
            <w:tcW w:type="dxa" w:w="3240"/>
          </w:tcPr>
          <w:p>
            <w:r/>
            <w:r>
              <w:rPr>
                <w:sz w:val="17"/>
              </w:rPr>
              <w:t>Static Application Security Testing</w:t>
            </w:r>
          </w:p>
        </w:tc>
        <w:tc>
          <w:tcPr>
            <w:tcW w:type="dxa" w:w="4752"/>
          </w:tcPr>
          <w:p>
            <w:r/>
            <w:r>
              <w:rPr>
                <w:sz w:val="17"/>
              </w:rPr>
              <w:t>Analyzes source code for vulnerabilities.</w:t>
            </w:r>
          </w:p>
        </w:tc>
      </w:tr>
      <w:tr>
        <w:tc>
          <w:tcPr>
            <w:tcW w:type="dxa" w:w="1368"/>
          </w:tcPr>
          <w:p>
            <w:r/>
            <w:r>
              <w:rPr>
                <w:b/>
                <w:sz w:val="17"/>
              </w:rPr>
              <w:t>SCA</w:t>
            </w:r>
          </w:p>
        </w:tc>
        <w:tc>
          <w:tcPr>
            <w:tcW w:type="dxa" w:w="3240"/>
          </w:tcPr>
          <w:p>
            <w:r/>
            <w:r>
              <w:rPr>
                <w:sz w:val="17"/>
              </w:rPr>
              <w:t>Software Composition Analysis</w:t>
            </w:r>
          </w:p>
        </w:tc>
        <w:tc>
          <w:tcPr>
            <w:tcW w:type="dxa" w:w="4752"/>
          </w:tcPr>
          <w:p>
            <w:r/>
            <w:r>
              <w:rPr>
                <w:sz w:val="17"/>
              </w:rPr>
              <w:t>Identifies vulnerable open-source and third-party dependencies.</w:t>
            </w:r>
          </w:p>
        </w:tc>
      </w:tr>
    </w:tbl>
    <w:p>
      <w:pPr>
        <w:spacing w:before="120" w:after="40"/>
      </w:pPr>
      <w:r>
        <w:rPr>
          <w:b/>
          <w:color w:val="2E75B6"/>
          <w:sz w:val="22"/>
        </w:rPr>
        <w:t>Federal and Acquisition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1368"/>
          </w:tcPr>
          <w:p>
            <w:r/>
            <w:r>
              <w:rPr>
                <w:b/>
                <w:sz w:val="17"/>
              </w:rPr>
              <w:t>Acronym</w:t>
            </w:r>
          </w:p>
        </w:tc>
        <w:tc>
          <w:tcPr>
            <w:tcW w:type="dxa" w:w="3240"/>
          </w:tcPr>
          <w:p>
            <w:r/>
            <w:r>
              <w:rPr>
                <w:b/>
                <w:sz w:val="17"/>
              </w:rPr>
              <w:t>Term</w:t>
            </w:r>
          </w:p>
        </w:tc>
        <w:tc>
          <w:tcPr>
            <w:tcW w:type="dxa" w:w="4752"/>
          </w:tcPr>
          <w:p>
            <w:r/>
            <w:r>
              <w:rPr>
                <w:b/>
                <w:sz w:val="17"/>
              </w:rPr>
              <w:t>Meaning</w:t>
            </w:r>
          </w:p>
        </w:tc>
      </w:tr>
      <w:tr>
        <w:tc>
          <w:tcPr>
            <w:tcW w:type="dxa" w:w="1368"/>
          </w:tcPr>
          <w:p>
            <w:r/>
            <w:r>
              <w:rPr>
                <w:b/>
                <w:sz w:val="17"/>
              </w:rPr>
              <w:t>ARCYBER</w:t>
            </w:r>
          </w:p>
        </w:tc>
        <w:tc>
          <w:tcPr>
            <w:tcW w:type="dxa" w:w="3240"/>
          </w:tcPr>
          <w:p>
            <w:r/>
            <w:r>
              <w:rPr>
                <w:sz w:val="17"/>
              </w:rPr>
              <w:t>U.S. Army Cyber Command</w:t>
            </w:r>
          </w:p>
        </w:tc>
        <w:tc>
          <w:tcPr>
            <w:tcW w:type="dxa" w:w="4752"/>
          </w:tcPr>
          <w:p>
            <w:r/>
            <w:r>
              <w:rPr>
                <w:sz w:val="17"/>
              </w:rPr>
              <w:t>The Army's cyber operations command.</w:t>
            </w:r>
          </w:p>
        </w:tc>
      </w:tr>
      <w:tr>
        <w:tc>
          <w:tcPr>
            <w:tcW w:type="dxa" w:w="1368"/>
          </w:tcPr>
          <w:p>
            <w:r/>
            <w:r>
              <w:rPr>
                <w:b/>
                <w:sz w:val="17"/>
              </w:rPr>
              <w:t>DFARS</w:t>
            </w:r>
          </w:p>
        </w:tc>
        <w:tc>
          <w:tcPr>
            <w:tcW w:type="dxa" w:w="3240"/>
          </w:tcPr>
          <w:p>
            <w:r/>
            <w:r>
              <w:rPr>
                <w:sz w:val="17"/>
              </w:rPr>
              <w:t>Defense Federal Acquisition Regulation Supplement</w:t>
            </w:r>
          </w:p>
        </w:tc>
        <w:tc>
          <w:tcPr>
            <w:tcW w:type="dxa" w:w="4752"/>
          </w:tcPr>
          <w:p>
            <w:r/>
            <w:r>
              <w:rPr>
                <w:sz w:val="17"/>
              </w:rPr>
              <w:t>DoD supplement to federal acquisition rules.</w:t>
            </w:r>
          </w:p>
        </w:tc>
      </w:tr>
      <w:tr>
        <w:tc>
          <w:tcPr>
            <w:tcW w:type="dxa" w:w="1368"/>
          </w:tcPr>
          <w:p>
            <w:r/>
            <w:r>
              <w:rPr>
                <w:b/>
                <w:sz w:val="17"/>
              </w:rPr>
              <w:t>FAR</w:t>
            </w:r>
          </w:p>
        </w:tc>
        <w:tc>
          <w:tcPr>
            <w:tcW w:type="dxa" w:w="3240"/>
          </w:tcPr>
          <w:p>
            <w:r/>
            <w:r>
              <w:rPr>
                <w:sz w:val="17"/>
              </w:rPr>
              <w:t>Federal Acquisition Regulation</w:t>
            </w:r>
          </w:p>
        </w:tc>
        <w:tc>
          <w:tcPr>
            <w:tcW w:type="dxa" w:w="4752"/>
          </w:tcPr>
          <w:p>
            <w:r/>
            <w:r>
              <w:rPr>
                <w:sz w:val="17"/>
              </w:rPr>
              <w:t>Primary U.S. federal acquisition regulation.</w:t>
            </w:r>
          </w:p>
        </w:tc>
      </w:tr>
      <w:tr>
        <w:tc>
          <w:tcPr>
            <w:tcW w:type="dxa" w:w="1368"/>
          </w:tcPr>
          <w:p>
            <w:r/>
            <w:r>
              <w:rPr>
                <w:b/>
                <w:sz w:val="17"/>
              </w:rPr>
              <w:t>IL5 / IL6</w:t>
            </w:r>
          </w:p>
        </w:tc>
        <w:tc>
          <w:tcPr>
            <w:tcW w:type="dxa" w:w="3240"/>
          </w:tcPr>
          <w:p>
            <w:r/>
            <w:r>
              <w:rPr>
                <w:sz w:val="17"/>
              </w:rPr>
              <w:t>Impact Level 5 / 6</w:t>
            </w:r>
          </w:p>
        </w:tc>
        <w:tc>
          <w:tcPr>
            <w:tcW w:type="dxa" w:w="4752"/>
          </w:tcPr>
          <w:p>
            <w:r/>
            <w:r>
              <w:rPr>
                <w:sz w:val="17"/>
              </w:rPr>
              <w:t>DoD cloud security levels (IL5 CUI/NSS; IL6 up to SECRET).</w:t>
            </w:r>
          </w:p>
        </w:tc>
      </w:tr>
      <w:tr>
        <w:tc>
          <w:tcPr>
            <w:tcW w:type="dxa" w:w="1368"/>
          </w:tcPr>
          <w:p>
            <w:r/>
            <w:r>
              <w:rPr>
                <w:b/>
                <w:sz w:val="17"/>
              </w:rPr>
              <w:t>JWICS</w:t>
            </w:r>
          </w:p>
        </w:tc>
        <w:tc>
          <w:tcPr>
            <w:tcW w:type="dxa" w:w="3240"/>
          </w:tcPr>
          <w:p>
            <w:r/>
            <w:r>
              <w:rPr>
                <w:sz w:val="17"/>
              </w:rPr>
              <w:t>Joint Worldwide Intelligence Communications System</w:t>
            </w:r>
          </w:p>
        </w:tc>
        <w:tc>
          <w:tcPr>
            <w:tcW w:type="dxa" w:w="4752"/>
          </w:tcPr>
          <w:p>
            <w:r/>
            <w:r>
              <w:rPr>
                <w:sz w:val="17"/>
              </w:rPr>
              <w:t>Top-Secret/SCI classified network.</w:t>
            </w:r>
          </w:p>
        </w:tc>
      </w:tr>
      <w:tr>
        <w:tc>
          <w:tcPr>
            <w:tcW w:type="dxa" w:w="1368"/>
          </w:tcPr>
          <w:p>
            <w:r/>
            <w:r>
              <w:rPr>
                <w:b/>
                <w:sz w:val="17"/>
              </w:rPr>
              <w:t>NDAA</w:t>
            </w:r>
          </w:p>
        </w:tc>
        <w:tc>
          <w:tcPr>
            <w:tcW w:type="dxa" w:w="3240"/>
          </w:tcPr>
          <w:p>
            <w:r/>
            <w:r>
              <w:rPr>
                <w:sz w:val="17"/>
              </w:rPr>
              <w:t>National Defense Authorization Act</w:t>
            </w:r>
          </w:p>
        </w:tc>
        <w:tc>
          <w:tcPr>
            <w:tcW w:type="dxa" w:w="4752"/>
          </w:tcPr>
          <w:p>
            <w:r/>
            <w:r>
              <w:rPr>
                <w:sz w:val="17"/>
              </w:rPr>
              <w:t>Annual U.S. defense policy and funding law.</w:t>
            </w:r>
          </w:p>
        </w:tc>
      </w:tr>
      <w:tr>
        <w:tc>
          <w:tcPr>
            <w:tcW w:type="dxa" w:w="1368"/>
          </w:tcPr>
          <w:p>
            <w:r/>
            <w:r>
              <w:rPr>
                <w:b/>
                <w:sz w:val="17"/>
              </w:rPr>
              <w:t>NIST SP 800-53 / 800-161</w:t>
            </w:r>
          </w:p>
        </w:tc>
        <w:tc>
          <w:tcPr>
            <w:tcW w:type="dxa" w:w="3240"/>
          </w:tcPr>
          <w:p>
            <w:r/>
            <w:r>
              <w:rPr>
                <w:sz w:val="17"/>
              </w:rPr>
              <w:t>NIST Special Publications</w:t>
            </w:r>
          </w:p>
        </w:tc>
        <w:tc>
          <w:tcPr>
            <w:tcW w:type="dxa" w:w="4752"/>
          </w:tcPr>
          <w:p>
            <w:r/>
            <w:r>
              <w:rPr>
                <w:sz w:val="17"/>
              </w:rPr>
              <w:t>Security-control and supply-chain-risk-management catalogs.</w:t>
            </w:r>
          </w:p>
        </w:tc>
      </w:tr>
      <w:tr>
        <w:tc>
          <w:tcPr>
            <w:tcW w:type="dxa" w:w="1368"/>
          </w:tcPr>
          <w:p>
            <w:r/>
            <w:r>
              <w:rPr>
                <w:b/>
                <w:sz w:val="17"/>
              </w:rPr>
              <w:t>OTA</w:t>
            </w:r>
          </w:p>
        </w:tc>
        <w:tc>
          <w:tcPr>
            <w:tcW w:type="dxa" w:w="3240"/>
          </w:tcPr>
          <w:p>
            <w:r/>
            <w:r>
              <w:rPr>
                <w:sz w:val="17"/>
              </w:rPr>
              <w:t>Other Transaction Authority</w:t>
            </w:r>
          </w:p>
        </w:tc>
        <w:tc>
          <w:tcPr>
            <w:tcW w:type="dxa" w:w="4752"/>
          </w:tcPr>
          <w:p>
            <w:r/>
            <w:r>
              <w:rPr>
                <w:sz w:val="17"/>
              </w:rPr>
              <w:t>Flexible non-FAR mechanism for prototypes and pilots.</w:t>
            </w:r>
          </w:p>
        </w:tc>
      </w:tr>
      <w:tr>
        <w:tc>
          <w:tcPr>
            <w:tcW w:type="dxa" w:w="1368"/>
          </w:tcPr>
          <w:p>
            <w:r/>
            <w:r>
              <w:rPr>
                <w:b/>
                <w:sz w:val="17"/>
              </w:rPr>
              <w:t>PCA</w:t>
            </w:r>
          </w:p>
        </w:tc>
        <w:tc>
          <w:tcPr>
            <w:tcW w:type="dxa" w:w="3240"/>
          </w:tcPr>
          <w:p>
            <w:r/>
            <w:r>
              <w:rPr>
                <w:sz w:val="17"/>
              </w:rPr>
              <w:t>Principal Cyber Advisor</w:t>
            </w:r>
          </w:p>
        </w:tc>
        <w:tc>
          <w:tcPr>
            <w:tcW w:type="dxa" w:w="4752"/>
          </w:tcPr>
          <w:p>
            <w:r/>
            <w:r>
              <w:rPr>
                <w:sz w:val="17"/>
              </w:rPr>
              <w:t>Senior cyber advisor to a Service Secretary (Brandon Pugh, for the Army).</w:t>
            </w:r>
          </w:p>
        </w:tc>
      </w:tr>
      <w:tr>
        <w:tc>
          <w:tcPr>
            <w:tcW w:type="dxa" w:w="1368"/>
          </w:tcPr>
          <w:p>
            <w:r/>
            <w:r>
              <w:rPr>
                <w:b/>
                <w:sz w:val="17"/>
              </w:rPr>
              <w:t>PEO IEW&amp;S</w:t>
            </w:r>
          </w:p>
        </w:tc>
        <w:tc>
          <w:tcPr>
            <w:tcW w:type="dxa" w:w="3240"/>
          </w:tcPr>
          <w:p>
            <w:r/>
            <w:r>
              <w:rPr>
                <w:sz w:val="17"/>
              </w:rPr>
              <w:t>Program Executive Office, Intelligence Electronic Warfare and Sensors</w:t>
            </w:r>
          </w:p>
        </w:tc>
        <w:tc>
          <w:tcPr>
            <w:tcW w:type="dxa" w:w="4752"/>
          </w:tcPr>
          <w:p>
            <w:r/>
            <w:r>
              <w:rPr>
                <w:sz w:val="17"/>
              </w:rPr>
              <w:t>Army acquisition organization.</w:t>
            </w:r>
          </w:p>
        </w:tc>
      </w:tr>
      <w:tr>
        <w:tc>
          <w:tcPr>
            <w:tcW w:type="dxa" w:w="1368"/>
          </w:tcPr>
          <w:p>
            <w:r/>
            <w:r>
              <w:rPr>
                <w:b/>
                <w:sz w:val="17"/>
              </w:rPr>
              <w:t>PM C&amp;S</w:t>
            </w:r>
          </w:p>
        </w:tc>
        <w:tc>
          <w:tcPr>
            <w:tcW w:type="dxa" w:w="3240"/>
          </w:tcPr>
          <w:p>
            <w:r/>
            <w:r>
              <w:rPr>
                <w:sz w:val="17"/>
              </w:rPr>
              <w:t>Project Manager, Cyber and Space</w:t>
            </w:r>
          </w:p>
        </w:tc>
        <w:tc>
          <w:tcPr>
            <w:tcW w:type="dxa" w:w="4752"/>
          </w:tcPr>
          <w:p>
            <w:r/>
            <w:r>
              <w:rPr>
                <w:sz w:val="17"/>
              </w:rPr>
              <w:t>Army acquisition office (LTC DiGrezio's seat).</w:t>
            </w:r>
          </w:p>
        </w:tc>
      </w:tr>
      <w:tr>
        <w:tc>
          <w:tcPr>
            <w:tcW w:type="dxa" w:w="1368"/>
          </w:tcPr>
          <w:p>
            <w:r/>
            <w:r>
              <w:rPr>
                <w:b/>
                <w:sz w:val="17"/>
              </w:rPr>
              <w:t>PoR</w:t>
            </w:r>
          </w:p>
        </w:tc>
        <w:tc>
          <w:tcPr>
            <w:tcW w:type="dxa" w:w="3240"/>
          </w:tcPr>
          <w:p>
            <w:r/>
            <w:r>
              <w:rPr>
                <w:sz w:val="17"/>
              </w:rPr>
              <w:t>Program of Record</w:t>
            </w:r>
          </w:p>
        </w:tc>
        <w:tc>
          <w:tcPr>
            <w:tcW w:type="dxa" w:w="4752"/>
          </w:tcPr>
          <w:p>
            <w:r/>
            <w:r>
              <w:rPr>
                <w:sz w:val="17"/>
              </w:rPr>
              <w:t>A formally funded, sustained acquisition program.</w:t>
            </w:r>
          </w:p>
        </w:tc>
      </w:tr>
      <w:tr>
        <w:tc>
          <w:tcPr>
            <w:tcW w:type="dxa" w:w="1368"/>
          </w:tcPr>
          <w:p>
            <w:r/>
            <w:r>
              <w:rPr>
                <w:b/>
                <w:sz w:val="17"/>
              </w:rPr>
              <w:t>SCRM</w:t>
            </w:r>
          </w:p>
        </w:tc>
        <w:tc>
          <w:tcPr>
            <w:tcW w:type="dxa" w:w="3240"/>
          </w:tcPr>
          <w:p>
            <w:r/>
            <w:r>
              <w:rPr>
                <w:sz w:val="17"/>
              </w:rPr>
              <w:t>Supply Chain Risk Management</w:t>
            </w:r>
          </w:p>
        </w:tc>
        <w:tc>
          <w:tcPr>
            <w:tcW w:type="dxa" w:w="4752"/>
          </w:tcPr>
          <w:p>
            <w:r/>
            <w:r>
              <w:rPr>
                <w:sz w:val="17"/>
              </w:rPr>
              <w:t>Managing risk across the supplier base.</w:t>
            </w:r>
          </w:p>
        </w:tc>
      </w:tr>
      <w:tr>
        <w:tc>
          <w:tcPr>
            <w:tcW w:type="dxa" w:w="1368"/>
          </w:tcPr>
          <w:p>
            <w:r/>
            <w:r>
              <w:rPr>
                <w:b/>
                <w:sz w:val="17"/>
              </w:rPr>
              <w:t>TRL</w:t>
            </w:r>
          </w:p>
        </w:tc>
        <w:tc>
          <w:tcPr>
            <w:tcW w:type="dxa" w:w="3240"/>
          </w:tcPr>
          <w:p>
            <w:r/>
            <w:r>
              <w:rPr>
                <w:sz w:val="17"/>
              </w:rPr>
              <w:t>Technology Readiness Level</w:t>
            </w:r>
          </w:p>
        </w:tc>
        <w:tc>
          <w:tcPr>
            <w:tcW w:type="dxa" w:w="4752"/>
          </w:tcPr>
          <w:p>
            <w:r/>
            <w:r>
              <w:rPr>
                <w:sz w:val="17"/>
              </w:rPr>
              <w:t>A 1-to-9 scale of technology maturity.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