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0"/>
        </w:rPr>
        <w:t>Behavioral Entity Intelligence</w:t>
        <w:br/>
        <w:t>for Supplier Risk Management</w:t>
      </w:r>
    </w:p>
    <w:p/>
    <w:p>
      <w:pPr>
        <w:jc w:val="center"/>
      </w:pPr>
      <w:r>
        <w:rPr>
          <w:color w:val="1B4F72"/>
          <w:sz w:val="30"/>
        </w:rPr>
        <w:t>Detecting Hidden Supply Chain Risks Through</w:t>
        <w:br/>
        <w:t>Entity Profiling, Relationship Dynamics, and Network Analysis</w:t>
      </w:r>
    </w:p>
    <w:p/>
    <w:p/>
    <w:p/>
    <w:p/>
    <w:p>
      <w:pPr>
        <w:jc w:val="center"/>
      </w:pPr>
      <w:r>
        <w:rPr>
          <w:color w:val="444444"/>
          <w:sz w:val="24"/>
        </w:rPr>
        <w:t>22nd Century Technologies, Inc.</w:t>
        <w:br/>
        <w:br/>
        <w:t>June 2026 — Version 1.0</w:t>
        <w:br/>
        <w:br/>
        <w:t>Prepared for: Defense Logistics Agency</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The Supplier Risk Challenge</w:t>
      </w:r>
    </w:p>
    <w:p>
      <w:pPr>
        <w:spacing w:after="40"/>
      </w:pPr>
      <w:r>
        <w:rPr>
          <w:color w:val="1B4F72"/>
          <w:sz w:val="21"/>
        </w:rPr>
        <w:t xml:space="preserve">   2.1. Why Traditional Supplier Monitoring Fails</w:t>
      </w:r>
    </w:p>
    <w:p>
      <w:pPr>
        <w:spacing w:after="40"/>
      </w:pPr>
      <w:r>
        <w:rPr>
          <w:color w:val="1B4F72"/>
          <w:sz w:val="21"/>
        </w:rPr>
        <w:t xml:space="preserve">   2.2. Real-World Supply Chain Compromises</w:t>
      </w:r>
    </w:p>
    <w:p>
      <w:pPr>
        <w:spacing w:after="40"/>
      </w:pPr>
      <w:r>
        <w:rPr>
          <w:color w:val="1B4F72"/>
          <w:sz w:val="21"/>
        </w:rPr>
        <w:t xml:space="preserve">   2.3. SCRM Regulatory Landscape</w:t>
      </w:r>
    </w:p>
    <w:p>
      <w:pPr>
        <w:spacing w:after="40"/>
      </w:pPr>
      <w:r>
        <w:rPr>
          <w:color w:val="0D1B2A"/>
          <w:sz w:val="21"/>
        </w:rPr>
        <w:t>3. Behavioral Entity Intelligence for Supply Chain</w:t>
      </w:r>
    </w:p>
    <w:p>
      <w:pPr>
        <w:spacing w:after="40"/>
      </w:pPr>
      <w:r>
        <w:rPr>
          <w:color w:val="1B4F72"/>
          <w:sz w:val="21"/>
        </w:rPr>
        <w:t xml:space="preserve">   3.1. The Entity Model</w:t>
      </w:r>
    </w:p>
    <w:p>
      <w:pPr>
        <w:spacing w:after="40"/>
      </w:pPr>
      <w:r>
        <w:rPr>
          <w:color w:val="1B4F72"/>
          <w:sz w:val="21"/>
        </w:rPr>
        <w:t xml:space="preserve">   3.2. Supplier Behavioral Zones</w:t>
      </w:r>
    </w:p>
    <w:p>
      <w:pPr>
        <w:spacing w:after="40"/>
      </w:pPr>
      <w:r>
        <w:rPr>
          <w:color w:val="1B4F72"/>
          <w:sz w:val="21"/>
        </w:rPr>
        <w:t xml:space="preserve">   3.3. NSN Item Behavioral Zones</w:t>
      </w:r>
    </w:p>
    <w:p>
      <w:pPr>
        <w:spacing w:after="40"/>
      </w:pPr>
      <w:r>
        <w:rPr>
          <w:color w:val="1B4F72"/>
          <w:sz w:val="21"/>
        </w:rPr>
        <w:t xml:space="preserve">   3.4. The Time Dimension</w:t>
      </w:r>
    </w:p>
    <w:p>
      <w:pPr>
        <w:spacing w:after="40"/>
      </w:pPr>
      <w:r>
        <w:rPr>
          <w:color w:val="0D1B2A"/>
          <w:sz w:val="21"/>
        </w:rPr>
        <w:t>4. Relationship-Level Risk Detection</w:t>
      </w:r>
    </w:p>
    <w:p>
      <w:pPr>
        <w:spacing w:after="40"/>
      </w:pPr>
      <w:r>
        <w:rPr>
          <w:color w:val="1B4F72"/>
          <w:sz w:val="21"/>
        </w:rPr>
        <w:t xml:space="preserve">   4.1. Pairwise Relationships</w:t>
      </w:r>
    </w:p>
    <w:p>
      <w:pPr>
        <w:spacing w:after="40"/>
      </w:pPr>
      <w:r>
        <w:rPr>
          <w:color w:val="1B4F72"/>
          <w:sz w:val="21"/>
        </w:rPr>
        <w:t xml:space="preserve">   4.2. Network-Level Risk</w:t>
      </w:r>
    </w:p>
    <w:p>
      <w:pPr>
        <w:spacing w:after="40"/>
      </w:pPr>
      <w:r>
        <w:rPr>
          <w:color w:val="1B4F72"/>
          <w:sz w:val="21"/>
        </w:rPr>
        <w:t xml:space="preserve">   4.3. The What vs How Much Principle</w:t>
      </w:r>
    </w:p>
    <w:p>
      <w:pPr>
        <w:spacing w:after="40"/>
      </w:pPr>
      <w:r>
        <w:rPr>
          <w:color w:val="0D1B2A"/>
          <w:sz w:val="21"/>
        </w:rPr>
        <w:t>5. Detection Capabilities</w:t>
      </w:r>
    </w:p>
    <w:p>
      <w:pPr>
        <w:spacing w:after="40"/>
      </w:pPr>
      <w:r>
        <w:rPr>
          <w:color w:val="1B4F72"/>
          <w:sz w:val="21"/>
        </w:rPr>
        <w:t xml:space="preserve">   5.1. Counterfeit Part Detection</w:t>
      </w:r>
    </w:p>
    <w:p>
      <w:pPr>
        <w:spacing w:after="40"/>
      </w:pPr>
      <w:r>
        <w:rPr>
          <w:color w:val="1B4F72"/>
          <w:sz w:val="21"/>
        </w:rPr>
        <w:t xml:space="preserve">   5.2. Adversary-Nation Sourcing (SCRM)</w:t>
      </w:r>
    </w:p>
    <w:p>
      <w:pPr>
        <w:spacing w:after="40"/>
      </w:pPr>
      <w:r>
        <w:rPr>
          <w:color w:val="1B4F72"/>
          <w:sz w:val="21"/>
        </w:rPr>
        <w:t xml:space="preserve">   5.3. Supplier Concentration Risk</w:t>
      </w:r>
    </w:p>
    <w:p>
      <w:pPr>
        <w:spacing w:after="40"/>
      </w:pPr>
      <w:r>
        <w:rPr>
          <w:color w:val="1B4F72"/>
          <w:sz w:val="21"/>
        </w:rPr>
        <w:t xml:space="preserve">   5.4. Demand Diversion and Fraud</w:t>
      </w:r>
    </w:p>
    <w:p>
      <w:pPr>
        <w:spacing w:after="40"/>
      </w:pPr>
      <w:r>
        <w:rPr>
          <w:color w:val="1B4F72"/>
          <w:sz w:val="21"/>
        </w:rPr>
        <w:t xml:space="preserve">   5.5. Contract and Financial Risk</w:t>
      </w:r>
    </w:p>
    <w:p>
      <w:pPr>
        <w:spacing w:after="40"/>
      </w:pPr>
      <w:r>
        <w:rPr>
          <w:color w:val="0D1B2A"/>
          <w:sz w:val="21"/>
        </w:rPr>
        <w:t>6. Operational Deployment</w:t>
      </w:r>
    </w:p>
    <w:p>
      <w:pPr>
        <w:spacing w:after="40"/>
      </w:pPr>
      <w:r>
        <w:rPr>
          <w:color w:val="1B4F72"/>
          <w:sz w:val="21"/>
        </w:rPr>
        <w:t xml:space="preserve">   6.1. Data Requirements</w:t>
      </w:r>
    </w:p>
    <w:p>
      <w:pPr>
        <w:spacing w:after="40"/>
      </w:pPr>
      <w:r>
        <w:rPr>
          <w:color w:val="1B4F72"/>
          <w:sz w:val="21"/>
        </w:rPr>
        <w:t xml:space="preserve">   6.2. Deployment Phases</w:t>
      </w:r>
    </w:p>
    <w:p>
      <w:pPr>
        <w:spacing w:after="40"/>
      </w:pPr>
      <w:r>
        <w:rPr>
          <w:color w:val="1B4F72"/>
          <w:sz w:val="21"/>
        </w:rPr>
        <w:t xml:space="preserve">   6.3. Integration Points</w:t>
      </w:r>
    </w:p>
    <w:p>
      <w:pPr>
        <w:spacing w:after="40"/>
      </w:pPr>
      <w:r>
        <w:rPr>
          <w:color w:val="0D1B2A"/>
          <w:sz w:val="21"/>
        </w:rPr>
        <w:t>7. Proven Foundation: From Cybersecurity to Supply Chain</w:t>
      </w:r>
    </w:p>
    <w:p>
      <w:pPr>
        <w:spacing w:after="40"/>
      </w:pPr>
      <w:r>
        <w:rPr>
          <w:color w:val="1B4F72"/>
          <w:sz w:val="21"/>
        </w:rPr>
        <w:t xml:space="preserve">   7.1. What Has Been Proven in Cybersecurity</w:t>
      </w:r>
    </w:p>
    <w:p>
      <w:pPr>
        <w:spacing w:after="40"/>
      </w:pPr>
      <w:r>
        <w:rPr>
          <w:color w:val="1B4F72"/>
          <w:sz w:val="21"/>
        </w:rPr>
        <w:t xml:space="preserve">   7.2. Why the Proof Transfers</w:t>
      </w:r>
    </w:p>
    <w:p>
      <w:pPr>
        <w:spacing w:after="40"/>
      </w:pPr>
      <w:r>
        <w:rPr>
          <w:color w:val="1B4F72"/>
          <w:sz w:val="21"/>
        </w:rPr>
        <w:t xml:space="preserve">   7.3. Supply Chain Proof of Concept</w:t>
      </w:r>
    </w:p>
    <w:p>
      <w:pPr>
        <w:spacing w:after="40"/>
      </w:pPr>
      <w:r>
        <w:rPr>
          <w:color w:val="1B4F72"/>
          <w:sz w:val="21"/>
        </w:rPr>
        <w:t xml:space="preserve">   7.4. Illustrative Detection Scenarios</w:t>
      </w:r>
    </w:p>
    <w:p>
      <w:pPr>
        <w:spacing w:after="40"/>
      </w:pPr>
      <w:r>
        <w:rPr>
          <w:color w:val="0D1B2A"/>
          <w:sz w:val="21"/>
        </w:rPr>
        <w:t>8. Business Value</w:t>
      </w:r>
    </w:p>
    <w:p>
      <w:pPr>
        <w:spacing w:after="40"/>
      </w:pPr>
      <w:r>
        <w:rPr>
          <w:color w:val="0D1B2A"/>
          <w:sz w:val="21"/>
        </w:rPr>
        <w:t>9. Conclusion</w:t>
      </w:r>
    </w:p>
    <w:p>
      <w:r>
        <w:br w:type="page"/>
      </w:r>
    </w:p>
    <w:p>
      <w:pPr>
        <w:pStyle w:val="Heading1"/>
      </w:pPr>
      <w:r>
        <w:rPr>
          <w:color w:val="0D1B2A"/>
        </w:rPr>
        <w:t>1. Executive Summary</w:t>
      </w:r>
    </w:p>
    <w:p>
      <w:pPr>
        <w:spacing w:after="120"/>
      </w:pPr>
      <w:r>
        <w:rPr>
          <w:b w:val="0"/>
          <w:color w:val="000000"/>
          <w:sz w:val="21"/>
        </w:rPr>
        <w:t>Defense supply chains face risks that are invisible to traditional monitoring. Suppliers gradually shift component sourcing to adversary nations. Counterfeit parts enter the supply chain through multi-tier intermediaries. Coordinated failures reveal hidden common dependencies that no single-supplier audit would uncover. These risks accumulate slowly, often over months, and become visible only after mission-critical systems are affected.</w:t>
      </w:r>
    </w:p>
    <w:p>
      <w:pPr>
        <w:spacing w:after="120"/>
      </w:pPr>
      <w:r>
        <w:rPr>
          <w:b w:val="0"/>
          <w:color w:val="000000"/>
          <w:sz w:val="21"/>
        </w:rPr>
        <w:t>Traditional supplier monitoring checks individual metrics — on-time delivery rates, quality scores, pricing compliance — each against its own threshold. A supplier can pass every metric while systemic risks grow beneath the surface. The on-time rate stays within target. The quality score remains acceptable. The pricing stays within contract bounds. But the supplier has quietly shifted a substantial share of component sourcing from domestic manufacturers to facilities in an adversary nation. No single metric captures this.</w:t>
      </w:r>
    </w:p>
    <w:p>
      <w:pPr>
        <w:spacing w:after="120"/>
      </w:pPr>
      <w:r>
        <w:rPr>
          <w:b w:val="0"/>
          <w:color w:val="000000"/>
          <w:sz w:val="21"/>
        </w:rPr>
        <w:t>Behavioral Entity Intelligence (BEI) detects these risks by tracking behavioral direction across three analytical layers: entity profiles that capture each supplier's multi-dimensional behavioral trajectory over time, pairwise relationships that reveal how specific supplier-part-location combinations are changing, and network graphs that expose hidden dependencies, single points of failure, and multi-hop adversary-nation connections.</w:t>
      </w:r>
    </w:p>
    <w:p>
      <w:pPr>
        <w:spacing w:after="120"/>
      </w:pPr>
      <w:r>
        <w:rPr>
          <w:b w:val="0"/>
          <w:color w:val="000000"/>
          <w:sz w:val="21"/>
        </w:rPr>
        <w:t>This approach is not theoretical. The BEI framework has been proven in an operational cybersecurity deployment, where it detected all four advanced, long-duration attack campaigns — an insider threat, a slow command-and-control campaign, and two nation-state intrusions — that traditional threshold-based detection missed entirely. Each attacker stayed within normal statistical ranges on every individual metric while shifting behavioral direction. BEI caught the directional change.</w:t>
      </w:r>
    </w:p>
    <w:p>
      <w:pPr>
        <w:spacing w:after="120"/>
      </w:pPr>
      <w:r>
        <w:rPr>
          <w:b w:val="0"/>
          <w:color w:val="000000"/>
          <w:sz w:val="21"/>
        </w:rPr>
        <w:t>The framework has also been instantiated for the supply chain domain and exercised on a realistic synthetic dataset — 500 National Stock Numbers, 200 suppliers, 4 depots spanning the Indo-Pacific and CONUS, and 24 months of transaction history — demonstrating that the same behavioral profiling, regime detection, supplier risk grading, and relationship analysis operate directly on supply chain data. This whitepaper describes how that proven framework applies to defense supplier risk — and what it makes possible.</w:t>
      </w:r>
    </w:p>
    <w:p>
      <w:pPr>
        <w:pBdr>
          <w:left w:val="single" w:sz="24" w:space="12" w:color="0E6B8A"/>
        </w:pBdr>
        <w:shd w:fill="EAF4F7" w:val="clear"/>
        <w:spacing w:before="160" w:after="160"/>
      </w:pPr>
      <w:r>
        <w:rPr>
          <w:b/>
          <w:color w:val="0D1B2A"/>
          <w:sz w:val="21"/>
        </w:rPr>
        <w:t>Key insight: The supplier changes WHAT it sources, not HOW MUCH it delivers. Traditional metrics measure magnitude. BEI measures behavioral direction. The same principle that exposed hidden cyber threats exposes hidden supply chain risk.</w:t>
      </w:r>
    </w:p>
    <w:p>
      <w:r>
        <w:br w:type="page"/>
      </w:r>
    </w:p>
    <w:p>
      <w:pPr>
        <w:pStyle w:val="Heading1"/>
      </w:pPr>
      <w:r>
        <w:rPr>
          <w:color w:val="0D1B2A"/>
        </w:rPr>
        <w:t>2. The Supplier Risk Challenge</w:t>
      </w:r>
    </w:p>
    <w:p>
      <w:pPr>
        <w:pStyle w:val="Heading2"/>
      </w:pPr>
      <w:r>
        <w:rPr>
          <w:color w:val="1B4F72"/>
        </w:rPr>
        <w:t>2.1. Why Traditional Supplier Monitoring Fails</w:t>
      </w:r>
    </w:p>
    <w:p>
      <w:pPr>
        <w:spacing w:after="120"/>
      </w:pPr>
      <w:r>
        <w:rPr>
          <w:b w:val="0"/>
          <w:color w:val="000000"/>
          <w:sz w:val="21"/>
        </w:rPr>
        <w:t>Current supplier monitoring systems operate on a simple model: define a metric, set a threshold, and alert when the threshold is breached. This approach has four structural weaknesses that adversaries and market dynamics routinely exploit.</w:t>
      </w:r>
    </w:p>
    <w:p>
      <w:pPr>
        <w:spacing w:after="40"/>
      </w:pPr>
      <w:r>
        <w:rPr>
          <w:b/>
          <w:color w:val="000000"/>
          <w:sz w:val="21"/>
        </w:rPr>
        <w:t>Threshold Blindness</w:t>
      </w:r>
    </w:p>
    <w:p>
      <w:pPr>
        <w:spacing w:after="120"/>
      </w:pPr>
      <w:r>
        <w:rPr>
          <w:b w:val="0"/>
          <w:color w:val="000000"/>
          <w:sz w:val="21"/>
        </w:rPr>
        <w:t>A supplier passes every individual threshold — on-time delivery, quality score, and pricing all within bounds — while simultaneously shifting component sourcing, reducing manufacturing oversight, and substituting materials. Each metric is within bounds. The composite behavioral trajectory tells a different story, but no system is watching the trajectory.</w:t>
      </w:r>
    </w:p>
    <w:p>
      <w:pPr>
        <w:spacing w:after="40"/>
      </w:pPr>
      <w:r>
        <w:rPr>
          <w:b/>
          <w:color w:val="000000"/>
          <w:sz w:val="21"/>
        </w:rPr>
        <w:t>Single-Entity Tunnel Vision</w:t>
      </w:r>
    </w:p>
    <w:p>
      <w:pPr>
        <w:spacing w:after="120"/>
      </w:pPr>
      <w:r>
        <w:rPr>
          <w:b w:val="0"/>
          <w:color w:val="000000"/>
          <w:sz w:val="21"/>
        </w:rPr>
        <w:t>Traditional monitoring evaluates suppliers in isolation and parts in isolation. Supplier A looks fine. Part X looks fine. But the relationship between Supplier A and Part X has changed: the failure rate for this specific supplier-part combination has risen sharply while the supplier's overall quality score remains stable. The risk lives in the relationship, not in either entity.</w:t>
      </w:r>
    </w:p>
    <w:p>
      <w:pPr>
        <w:spacing w:after="40"/>
      </w:pPr>
      <w:r>
        <w:rPr>
          <w:b/>
          <w:color w:val="000000"/>
          <w:sz w:val="21"/>
        </w:rPr>
        <w:t>Static Risk Scores</w:t>
      </w:r>
    </w:p>
    <w:p>
      <w:pPr>
        <w:spacing w:after="120"/>
      </w:pPr>
      <w:r>
        <w:rPr>
          <w:b w:val="0"/>
          <w:color w:val="000000"/>
          <w:sz w:val="21"/>
        </w:rPr>
        <w:t>Annual risk assessments produce a point-in-time snapshot. Between assessments, supplier behavior can drift significantly. A supplier assessed as low-risk in January may experience financial distress in March, begin substituting components in May, and deliver counterfeit parts in July — all before the next annual review. Continuous behavioral monitoring closes this gap.</w:t>
      </w:r>
    </w:p>
    <w:p>
      <w:pPr>
        <w:spacing w:after="40"/>
      </w:pPr>
      <w:r>
        <w:rPr>
          <w:b/>
          <w:color w:val="000000"/>
          <w:sz w:val="21"/>
        </w:rPr>
        <w:t>Tier-2/3 Opacity</w:t>
      </w:r>
    </w:p>
    <w:p>
      <w:pPr>
        <w:spacing w:after="120"/>
      </w:pPr>
      <w:r>
        <w:rPr>
          <w:b w:val="0"/>
          <w:color w:val="000000"/>
          <w:sz w:val="21"/>
        </w:rPr>
        <w:t>Prime suppliers pass audits, but their sub-tier sourcing is effectively invisible. A Tier-1 supplier in good standing may source critical components from a Tier-2 distributor who sources from a Tier-3 manufacturer in an adversary nation. The prime supplier's metrics look clean because the risk is two hops away.</w:t>
      </w:r>
    </w:p>
    <w:p>
      <w:pPr>
        <w:pStyle w:val="Heading2"/>
      </w:pPr>
      <w:r>
        <w:rPr>
          <w:color w:val="1B4F72"/>
        </w:rPr>
        <w:t>2.2. Real-World Supply Chain Compromises</w:t>
      </w:r>
    </w:p>
    <w:p>
      <w:pPr>
        <w:spacing w:after="120"/>
      </w:pPr>
      <w:r>
        <w:rPr>
          <w:b w:val="0"/>
          <w:color w:val="000000"/>
          <w:sz w:val="21"/>
        </w:rPr>
        <w:t>The following incidents illustrate the types of supply chain risks that traditional monitoring consistently fails to detect.</w:t>
      </w:r>
    </w:p>
    <w:p>
      <w:pPr>
        <w:spacing w:after="40"/>
      </w:pPr>
      <w:r>
        <w:rPr>
          <w:b/>
          <w:color w:val="000000"/>
          <w:sz w:val="21"/>
        </w:rPr>
        <w:t>Counterfeit Electronic Components in DoD Systems</w:t>
      </w:r>
    </w:p>
    <w:p>
      <w:pPr>
        <w:spacing w:after="120"/>
      </w:pPr>
      <w:r>
        <w:rPr>
          <w:b w:val="0"/>
          <w:color w:val="000000"/>
          <w:sz w:val="21"/>
        </w:rPr>
        <w:t>The Senate Armed Services Committee investigation (2012) identified approximately 1 million suspected counterfeit electronic parts in the Department of Defense supply chain. These counterfeits entered through multi-tier distribution networks where components were relabeled, remarked, or entirely fabricated. Many passed initial quality inspections because the counterfeits were functionally adequate for standard testing but failed under operational stress conditions.</w:t>
      </w:r>
    </w:p>
    <w:p>
      <w:pPr>
        <w:spacing w:after="40"/>
      </w:pPr>
      <w:r>
        <w:rPr>
          <w:b/>
          <w:color w:val="000000"/>
          <w:sz w:val="21"/>
        </w:rPr>
        <w:t>Section 889 Violations</w:t>
      </w:r>
    </w:p>
    <w:p>
      <w:pPr>
        <w:spacing w:after="120"/>
      </w:pPr>
      <w:r>
        <w:rPr>
          <w:b w:val="0"/>
          <w:color w:val="000000"/>
          <w:sz w:val="21"/>
        </w:rPr>
        <w:t>Section 889 of the National Defense Authorization Act for Fiscal Year 2019 prohibits federal agencies from procuring telecommunications equipment from specified Chinese companies (Huawei, ZTE, and others). Despite the prohibition, components from these manufacturers have been found embedded in systems sold to federal agencies through multi-tier supply chains where the ultimate origin was obscured by intermediary distributors.</w:t>
      </w:r>
    </w:p>
    <w:p>
      <w:pPr>
        <w:spacing w:after="40"/>
      </w:pPr>
      <w:r>
        <w:rPr>
          <w:b/>
          <w:color w:val="000000"/>
          <w:sz w:val="21"/>
        </w:rPr>
        <w:t>SolarWinds Supply Chain Attack</w:t>
      </w:r>
    </w:p>
    <w:p>
      <w:pPr>
        <w:spacing w:after="120"/>
      </w:pPr>
      <w:r>
        <w:rPr>
          <w:b w:val="0"/>
          <w:color w:val="000000"/>
          <w:sz w:val="21"/>
        </w:rPr>
        <w:t>The SolarWinds compromise (2020) demonstrated that software supply chains carry the same risks as physical supply chains. A compromised software build system injected malicious code into a legitimate software update, affecting approximately 18,000 organizations including multiple federal agencies. The attack succeeded because the SBOM (Software Bill of Materials) was compromised at the build stage — the software appeared legitimate at every inspection point.</w:t>
      </w:r>
    </w:p>
    <w:p>
      <w:pPr>
        <w:spacing w:after="40"/>
      </w:pPr>
      <w:r>
        <w:rPr>
          <w:b/>
          <w:color w:val="000000"/>
          <w:sz w:val="21"/>
        </w:rPr>
        <w:t>COVID-19 Supply Chain Disruptions</w:t>
      </w:r>
    </w:p>
    <w:p>
      <w:pPr>
        <w:spacing w:after="120"/>
      </w:pPr>
      <w:r>
        <w:rPr>
          <w:b w:val="0"/>
          <w:color w:val="000000"/>
          <w:sz w:val="21"/>
        </w:rPr>
        <w:t>The pandemic exposed hidden single points of failure across defense supply chains. Suppliers that appeared independent shared common sub-tier sources for raw materials, specialized components, or manufacturing capacity. When one facility shut down, multiple supposedly independent supply lines failed simultaneously, revealing concentration risks invisible to supplier-by-supplier monitoring.</w:t>
      </w:r>
    </w:p>
    <w:p>
      <w:pPr>
        <w:pStyle w:val="Heading2"/>
      </w:pPr>
      <w:r>
        <w:rPr>
          <w:color w:val="1B4F72"/>
        </w:rPr>
        <w:t>2.3. SCRM Regulatory Landscape</w:t>
      </w:r>
    </w:p>
    <w:p>
      <w:pPr>
        <w:spacing w:after="120"/>
      </w:pPr>
      <w:r>
        <w:rPr>
          <w:b w:val="0"/>
          <w:color w:val="000000"/>
          <w:sz w:val="21"/>
        </w:rPr>
        <w:t>Defense supply chain risk management is governed by an expanding set of regulations, each addressing a specific dimension of supply chain risk. BEI provides the continuous monitoring capability that these regulations require but current systems struggle to deliver.</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Regulation / Directive</w:t>
            </w:r>
          </w:p>
        </w:tc>
        <w:tc>
          <w:tcPr>
            <w:tcW w:type="dxa" w:w="3168"/>
            <w:shd w:fill="0D1B2A"/>
          </w:tcPr>
          <w:p>
            <w:pPr>
              <w:jc w:val="center"/>
            </w:pPr>
            <w:r>
              <w:rPr>
                <w:b/>
                <w:color w:val="FFFFFF"/>
                <w:sz w:val="18"/>
              </w:rPr>
              <w:t>Scope</w:t>
            </w:r>
          </w:p>
        </w:tc>
        <w:tc>
          <w:tcPr>
            <w:tcW w:type="dxa" w:w="4032"/>
            <w:shd w:fill="0D1B2A"/>
          </w:tcPr>
          <w:p>
            <w:pPr>
              <w:jc w:val="center"/>
            </w:pPr>
            <w:r>
              <w:rPr>
                <w:b/>
                <w:color w:val="FFFFFF"/>
                <w:sz w:val="18"/>
              </w:rPr>
              <w:t>BEI Relevance</w:t>
            </w:r>
          </w:p>
        </w:tc>
      </w:tr>
      <w:tr>
        <w:tc>
          <w:tcPr>
            <w:tcW w:type="dxa" w:w="2592"/>
          </w:tcPr>
          <w:p>
            <w:r>
              <w:rPr>
                <w:sz w:val="18"/>
              </w:rPr>
              <w:t>DFARS 252.246-7008</w:t>
            </w:r>
          </w:p>
        </w:tc>
        <w:tc>
          <w:tcPr>
            <w:tcW w:type="dxa" w:w="3168"/>
          </w:tcPr>
          <w:p>
            <w:r>
              <w:rPr>
                <w:sz w:val="18"/>
              </w:rPr>
              <w:t>Counterfeit electronic parts</w:t>
              <w:br/>
              <w:t>detection and avoidance</w:t>
            </w:r>
          </w:p>
        </w:tc>
        <w:tc>
          <w:tcPr>
            <w:tcW w:type="dxa" w:w="4032"/>
          </w:tcPr>
          <w:p>
            <w:r>
              <w:rPr>
                <w:sz w:val="18"/>
              </w:rPr>
              <w:t>BEI tracks supplier-part-manufacturer</w:t>
              <w:br/>
              <w:t>relationship drift to detect sourcing</w:t>
              <w:br/>
              <w:t>changes indicative of counterfeit risk</w:t>
            </w:r>
          </w:p>
        </w:tc>
      </w:tr>
      <w:tr>
        <w:tc>
          <w:tcPr>
            <w:tcW w:type="dxa" w:w="2592"/>
            <w:shd w:fill="EAF0F6"/>
          </w:tcPr>
          <w:p>
            <w:r>
              <w:rPr>
                <w:sz w:val="18"/>
              </w:rPr>
              <w:t>Section 889, NDAA FY2019</w:t>
            </w:r>
          </w:p>
        </w:tc>
        <w:tc>
          <w:tcPr>
            <w:tcW w:type="dxa" w:w="3168"/>
            <w:shd w:fill="EAF0F6"/>
          </w:tcPr>
          <w:p>
            <w:r>
              <w:rPr>
                <w:sz w:val="18"/>
              </w:rPr>
              <w:t>Prohibition on Chinese telecom</w:t>
              <w:br/>
              <w:t>components in federal systems</w:t>
            </w:r>
          </w:p>
        </w:tc>
        <w:tc>
          <w:tcPr>
            <w:tcW w:type="dxa" w:w="4032"/>
            <w:shd w:fill="EAF0F6"/>
          </w:tcPr>
          <w:p>
            <w:r>
              <w:rPr>
                <w:sz w:val="18"/>
              </w:rPr>
              <w:t>BEI monitors country-of-origin</w:t>
              <w:br/>
              <w:t>relationships continuously, not just</w:t>
              <w:br/>
              <w:t>at contract award</w:t>
            </w:r>
          </w:p>
        </w:tc>
      </w:tr>
      <w:tr>
        <w:tc>
          <w:tcPr>
            <w:tcW w:type="dxa" w:w="2592"/>
          </w:tcPr>
          <w:p>
            <w:r>
              <w:rPr>
                <w:sz w:val="18"/>
              </w:rPr>
              <w:t>Executive Order 14017</w:t>
            </w:r>
          </w:p>
        </w:tc>
        <w:tc>
          <w:tcPr>
            <w:tcW w:type="dxa" w:w="3168"/>
          </w:tcPr>
          <w:p>
            <w:r>
              <w:rPr>
                <w:sz w:val="18"/>
              </w:rPr>
              <w:t>Supply chain resilience</w:t>
              <w:br/>
              <w:t>across critical sectors</w:t>
            </w:r>
          </w:p>
        </w:tc>
        <w:tc>
          <w:tcPr>
            <w:tcW w:type="dxa" w:w="4032"/>
          </w:tcPr>
          <w:p>
            <w:r>
              <w:rPr>
                <w:sz w:val="18"/>
              </w:rPr>
              <w:t>BEI identifies hidden concentration</w:t>
              <w:br/>
              <w:t>risks and single points of failure</w:t>
              <w:br/>
              <w:t>through network analysis</w:t>
            </w:r>
          </w:p>
        </w:tc>
      </w:tr>
      <w:tr>
        <w:tc>
          <w:tcPr>
            <w:tcW w:type="dxa" w:w="2592"/>
            <w:shd w:fill="EAF0F6"/>
          </w:tcPr>
          <w:p>
            <w:r>
              <w:rPr>
                <w:sz w:val="18"/>
              </w:rPr>
              <w:t>NIST SP 800-161 Rev 1</w:t>
            </w:r>
          </w:p>
        </w:tc>
        <w:tc>
          <w:tcPr>
            <w:tcW w:type="dxa" w:w="3168"/>
            <w:shd w:fill="EAF0F6"/>
          </w:tcPr>
          <w:p>
            <w:r>
              <w:rPr>
                <w:sz w:val="18"/>
              </w:rPr>
              <w:t>Cybersecurity Supply Chain</w:t>
              <w:br/>
              <w:t>Risk Management (C-SCRM)</w:t>
            </w:r>
          </w:p>
        </w:tc>
        <w:tc>
          <w:tcPr>
            <w:tcW w:type="dxa" w:w="4032"/>
            <w:shd w:fill="EAF0F6"/>
          </w:tcPr>
          <w:p>
            <w:r>
              <w:rPr>
                <w:sz w:val="18"/>
              </w:rPr>
              <w:t>BEI provides the continuous</w:t>
              <w:br/>
              <w:t>assessment and monitoring</w:t>
              <w:br/>
              <w:t>layer that C-SCRM frameworks require</w:t>
            </w:r>
          </w:p>
        </w:tc>
      </w:tr>
      <w:tr>
        <w:tc>
          <w:tcPr>
            <w:tcW w:type="dxa" w:w="2592"/>
          </w:tcPr>
          <w:p>
            <w:r>
              <w:rPr>
                <w:sz w:val="18"/>
              </w:rPr>
              <w:t>DLA SCRM Program</w:t>
            </w:r>
          </w:p>
        </w:tc>
        <w:tc>
          <w:tcPr>
            <w:tcW w:type="dxa" w:w="3168"/>
          </w:tcPr>
          <w:p>
            <w:r>
              <w:rPr>
                <w:sz w:val="18"/>
              </w:rPr>
              <w:t>DLA-specific supply chain</w:t>
              <w:br/>
              <w:t>risk management processes</w:t>
            </w:r>
          </w:p>
        </w:tc>
        <w:tc>
          <w:tcPr>
            <w:tcW w:type="dxa" w:w="4032"/>
          </w:tcPr>
          <w:p>
            <w:r>
              <w:rPr>
                <w:sz w:val="18"/>
              </w:rPr>
              <w:t>BEI integrates with existing DLA</w:t>
              <w:br/>
              <w:t>SCRM workflows, adding behavioral</w:t>
              <w:br/>
              <w:t>intelligence to current risk scoring</w:t>
            </w:r>
          </w:p>
        </w:tc>
      </w:tr>
    </w:tbl>
    <w:p/>
    <w:p>
      <w:r>
        <w:br w:type="page"/>
      </w:r>
    </w:p>
    <w:p>
      <w:pPr>
        <w:pStyle w:val="Heading1"/>
      </w:pPr>
      <w:r>
        <w:rPr>
          <w:color w:val="0D1B2A"/>
        </w:rPr>
        <w:t>3. Behavioral Entity Intelligence for Supply Chain</w:t>
      </w:r>
    </w:p>
    <w:p>
      <w:pPr>
        <w:pStyle w:val="Heading2"/>
      </w:pPr>
      <w:r>
        <w:rPr>
          <w:color w:val="1B4F72"/>
        </w:rPr>
        <w:t>3.1. The Entity Model</w:t>
      </w:r>
    </w:p>
    <w:p>
      <w:pPr>
        <w:spacing w:after="120"/>
      </w:pPr>
      <w:r>
        <w:rPr>
          <w:b w:val="0"/>
          <w:color w:val="000000"/>
          <w:sz w:val="21"/>
        </w:rPr>
        <w:t>BEI models the defense supply chain as a network of interacting entities, each with a multi-dimensional behavioral profile that evolves over time. Four primary entity types capture the key actors and objects in the supply chain.</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Entity Type</w:t>
            </w:r>
          </w:p>
        </w:tc>
        <w:tc>
          <w:tcPr>
            <w:tcW w:type="dxa" w:w="3168"/>
            <w:shd w:fill="0D1B2A"/>
          </w:tcPr>
          <w:p>
            <w:pPr>
              <w:jc w:val="center"/>
            </w:pPr>
            <w:r>
              <w:rPr>
                <w:b/>
                <w:color w:val="FFFFFF"/>
                <w:sz w:val="18"/>
              </w:rPr>
              <w:t>Examples</w:t>
            </w:r>
          </w:p>
        </w:tc>
        <w:tc>
          <w:tcPr>
            <w:tcW w:type="dxa" w:w="4320"/>
            <w:shd w:fill="0D1B2A"/>
          </w:tcPr>
          <w:p>
            <w:pPr>
              <w:jc w:val="center"/>
            </w:pPr>
            <w:r>
              <w:rPr>
                <w:b/>
                <w:color w:val="FFFFFF"/>
                <w:sz w:val="18"/>
              </w:rPr>
              <w:t>Behavioral Profile</w:t>
            </w:r>
          </w:p>
        </w:tc>
      </w:tr>
      <w:tr>
        <w:tc>
          <w:tcPr>
            <w:tcW w:type="dxa" w:w="1728"/>
          </w:tcPr>
          <w:p>
            <w:r>
              <w:rPr>
                <w:sz w:val="18"/>
              </w:rPr>
              <w:t>Supplier</w:t>
            </w:r>
          </w:p>
        </w:tc>
        <w:tc>
          <w:tcPr>
            <w:tcW w:type="dxa" w:w="3168"/>
          </w:tcPr>
          <w:p>
            <w:r>
              <w:rPr>
                <w:sz w:val="18"/>
              </w:rPr>
              <w:t>Prime contractors, distributors,</w:t>
              <w:br/>
              <w:t>small businesses, foreign vendors</w:t>
            </w:r>
          </w:p>
        </w:tc>
        <w:tc>
          <w:tcPr>
            <w:tcW w:type="dxa" w:w="4320"/>
          </w:tcPr>
          <w:p>
            <w:r>
              <w:rPr>
                <w:sz w:val="18"/>
              </w:rPr>
              <w:t>Delivery performance, pricing behavior,</w:t>
              <w:br/>
              <w:t>geographic sourcing patterns,</w:t>
              <w:br/>
              <w:t>financial health indicators</w:t>
            </w:r>
          </w:p>
        </w:tc>
      </w:tr>
      <w:tr>
        <w:tc>
          <w:tcPr>
            <w:tcW w:type="dxa" w:w="1728"/>
            <w:shd w:fill="EAF0F6"/>
          </w:tcPr>
          <w:p>
            <w:r>
              <w:rPr>
                <w:sz w:val="18"/>
              </w:rPr>
              <w:t>NSN (Part)</w:t>
            </w:r>
          </w:p>
        </w:tc>
        <w:tc>
          <w:tcPr>
            <w:tcW w:type="dxa" w:w="3168"/>
            <w:shd w:fill="EAF0F6"/>
          </w:tcPr>
          <w:p>
            <w:r>
              <w:rPr>
                <w:sz w:val="18"/>
              </w:rPr>
              <w:t>Consumables, repairables,</w:t>
              <w:br/>
              <w:t>critical components, assemblies</w:t>
            </w:r>
          </w:p>
        </w:tc>
        <w:tc>
          <w:tcPr>
            <w:tcW w:type="dxa" w:w="4320"/>
            <w:shd w:fill="EAF0F6"/>
          </w:tcPr>
          <w:p>
            <w:r>
              <w:rPr>
                <w:sz w:val="18"/>
              </w:rPr>
              <w:t>Demand patterns, failure rates,</w:t>
              <w:br/>
              <w:t>supplier concentration,</w:t>
              <w:br/>
              <w:t>inventory position trajectories</w:t>
            </w:r>
          </w:p>
        </w:tc>
      </w:tr>
      <w:tr>
        <w:tc>
          <w:tcPr>
            <w:tcW w:type="dxa" w:w="1728"/>
          </w:tcPr>
          <w:p>
            <w:r>
              <w:rPr>
                <w:sz w:val="18"/>
              </w:rPr>
              <w:t>Location</w:t>
              <w:br/>
              <w:t>(Depot/Base)</w:t>
            </w:r>
          </w:p>
        </w:tc>
        <w:tc>
          <w:tcPr>
            <w:tcW w:type="dxa" w:w="3168"/>
          </w:tcPr>
          <w:p>
            <w:r>
              <w:rPr>
                <w:sz w:val="18"/>
              </w:rPr>
              <w:t>DLA depots, military installations,</w:t>
              <w:br/>
              <w:t>forward operating locations</w:t>
            </w:r>
          </w:p>
        </w:tc>
        <w:tc>
          <w:tcPr>
            <w:tcW w:type="dxa" w:w="4320"/>
          </w:tcPr>
          <w:p>
            <w:r>
              <w:rPr>
                <w:sz w:val="18"/>
              </w:rPr>
              <w:t>Demand composition, requisition urgency</w:t>
              <w:br/>
              <w:t>patterns, consumption velocity,</w:t>
              <w:br/>
              <w:t>seasonal profiles</w:t>
            </w:r>
          </w:p>
        </w:tc>
      </w:tr>
      <w:tr>
        <w:tc>
          <w:tcPr>
            <w:tcW w:type="dxa" w:w="1728"/>
            <w:shd w:fill="EAF0F6"/>
          </w:tcPr>
          <w:p>
            <w:r>
              <w:rPr>
                <w:sz w:val="18"/>
              </w:rPr>
              <w:t>Manufacturer</w:t>
            </w:r>
          </w:p>
        </w:tc>
        <w:tc>
          <w:tcPr>
            <w:tcW w:type="dxa" w:w="3168"/>
            <w:shd w:fill="EAF0F6"/>
          </w:tcPr>
          <w:p>
            <w:r>
              <w:rPr>
                <w:sz w:val="18"/>
              </w:rPr>
              <w:t>Original equipment manufacturers,</w:t>
              <w:br/>
              <w:t>component fabricators,</w:t>
              <w:br/>
              <w:t>authorized distributors</w:t>
            </w:r>
          </w:p>
        </w:tc>
        <w:tc>
          <w:tcPr>
            <w:tcW w:type="dxa" w:w="4320"/>
            <w:shd w:fill="EAF0F6"/>
          </w:tcPr>
          <w:p>
            <w:r>
              <w:rPr>
                <w:sz w:val="18"/>
              </w:rPr>
              <w:t>Production consistency, quality trends,</w:t>
              <w:br/>
              <w:t>country-of-origin stability,</w:t>
              <w:br/>
              <w:t>certification status</w:t>
            </w:r>
          </w:p>
        </w:tc>
      </w:tr>
    </w:tbl>
    <w:p/>
    <w:p>
      <w:pPr>
        <w:spacing w:after="120"/>
      </w:pPr>
      <w:r>
        <w:rPr>
          <w:b w:val="0"/>
          <w:color w:val="000000"/>
          <w:sz w:val="21"/>
        </w:rPr>
        <w:t>Each entity maintains a behavioral profile composed of multiple independent dimensions — behavioral zones — that are tracked over time. The zones decompose entity activity into orthogonal dimensions so that a change in one dimension (e.g., geographic sourcing) is detected even when other dimensions (e.g., delivery timeliness) remain stable.</w:t>
      </w:r>
    </w:p>
    <w:p>
      <w:pPr>
        <w:pStyle w:val="Heading2"/>
      </w:pPr>
      <w:r>
        <w:rPr>
          <w:color w:val="1B4F72"/>
        </w:rPr>
        <w:t>3.2. Supplier Behavioral Zones</w:t>
      </w:r>
    </w:p>
    <w:p>
      <w:pPr>
        <w:spacing w:after="120"/>
      </w:pPr>
      <w:r>
        <w:rPr>
          <w:b w:val="0"/>
          <w:color w:val="000000"/>
          <w:sz w:val="21"/>
        </w:rPr>
        <w:t>Each supplier's behavioral profile is decomposed into five zones that capture independent dimensions of supplier activity. This decomposition ensures that a change in sourcing geography is detected even if delivery performance remains exemplary.</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Zone</w:t>
            </w:r>
          </w:p>
        </w:tc>
        <w:tc>
          <w:tcPr>
            <w:tcW w:type="dxa" w:w="2880"/>
            <w:shd w:fill="0D1B2A"/>
          </w:tcPr>
          <w:p>
            <w:pPr>
              <w:jc w:val="center"/>
            </w:pPr>
            <w:r>
              <w:rPr>
                <w:b/>
                <w:color w:val="FFFFFF"/>
                <w:sz w:val="18"/>
              </w:rPr>
              <w:t>What It Captures</w:t>
            </w:r>
          </w:p>
        </w:tc>
        <w:tc>
          <w:tcPr>
            <w:tcW w:type="dxa" w:w="4608"/>
            <w:shd w:fill="0D1B2A"/>
          </w:tcPr>
          <w:p>
            <w:pPr>
              <w:jc w:val="center"/>
            </w:pPr>
            <w:r>
              <w:rPr>
                <w:b/>
                <w:color w:val="FFFFFF"/>
                <w:sz w:val="18"/>
              </w:rPr>
              <w:t>Example Indicators</w:t>
            </w:r>
          </w:p>
        </w:tc>
      </w:tr>
      <w:tr>
        <w:tc>
          <w:tcPr>
            <w:tcW w:type="dxa" w:w="1728"/>
          </w:tcPr>
          <w:p>
            <w:r>
              <w:rPr>
                <w:sz w:val="18"/>
              </w:rPr>
              <w:t>Identity</w:t>
            </w:r>
          </w:p>
        </w:tc>
        <w:tc>
          <w:tcPr>
            <w:tcW w:type="dxa" w:w="2880"/>
          </w:tcPr>
          <w:p>
            <w:r>
              <w:rPr>
                <w:sz w:val="18"/>
              </w:rPr>
              <w:t>Registration, certifications,</w:t>
              <w:br/>
              <w:t>contract status, tier level</w:t>
            </w:r>
          </w:p>
        </w:tc>
        <w:tc>
          <w:tcPr>
            <w:tcW w:type="dxa" w:w="4608"/>
          </w:tcPr>
          <w:p>
            <w:r>
              <w:rPr>
                <w:sz w:val="18"/>
              </w:rPr>
              <w:t>CAGE code stability, SAM.gov status,</w:t>
              <w:br/>
              <w:t>ISO certification currency,</w:t>
              <w:br/>
              <w:t>small business classification</w:t>
            </w:r>
          </w:p>
        </w:tc>
      </w:tr>
      <w:tr>
        <w:tc>
          <w:tcPr>
            <w:tcW w:type="dxa" w:w="1728"/>
            <w:shd w:fill="EAF0F6"/>
          </w:tcPr>
          <w:p>
            <w:r>
              <w:rPr>
                <w:sz w:val="18"/>
              </w:rPr>
              <w:t>Performance</w:t>
              <w:br/>
              <w:t>Trajectory</w:t>
            </w:r>
          </w:p>
        </w:tc>
        <w:tc>
          <w:tcPr>
            <w:tcW w:type="dxa" w:w="2880"/>
            <w:shd w:fill="EAF0F6"/>
          </w:tcPr>
          <w:p>
            <w:r>
              <w:rPr>
                <w:sz w:val="18"/>
              </w:rPr>
              <w:t>Delivery timeliness trends,</w:t>
              <w:br/>
              <w:t>lead time consistency,</w:t>
              <w:br/>
              <w:t>quality scores over time</w:t>
            </w:r>
          </w:p>
        </w:tc>
        <w:tc>
          <w:tcPr>
            <w:tcW w:type="dxa" w:w="4608"/>
            <w:shd w:fill="EAF0F6"/>
          </w:tcPr>
          <w:p>
            <w:r>
              <w:rPr>
                <w:sz w:val="18"/>
              </w:rPr>
              <w:t>On-time delivery rate trajectory,</w:t>
              <w:br/>
              <w:t>average days early/late trend,</w:t>
              <w:br/>
              <w:t>quality rejection rate direction</w:t>
            </w:r>
          </w:p>
        </w:tc>
      </w:tr>
      <w:tr>
        <w:tc>
          <w:tcPr>
            <w:tcW w:type="dxa" w:w="1728"/>
          </w:tcPr>
          <w:p>
            <w:r>
              <w:rPr>
                <w:sz w:val="18"/>
              </w:rPr>
              <w:t>Location /</w:t>
              <w:br/>
              <w:t>Geographic Risk</w:t>
            </w:r>
          </w:p>
        </w:tc>
        <w:tc>
          <w:tcPr>
            <w:tcW w:type="dxa" w:w="2880"/>
          </w:tcPr>
          <w:p>
            <w:r>
              <w:rPr>
                <w:sz w:val="18"/>
              </w:rPr>
              <w:t>Sourcing geography,</w:t>
              <w:br/>
              <w:t>geographic concentration,</w:t>
              <w:br/>
              <w:t>geopolitical risk exposure</w:t>
            </w:r>
          </w:p>
        </w:tc>
        <w:tc>
          <w:tcPr>
            <w:tcW w:type="dxa" w:w="4608"/>
          </w:tcPr>
          <w:p>
            <w:r>
              <w:rPr>
                <w:sz w:val="18"/>
              </w:rPr>
              <w:t>Country-of-origin distribution,</w:t>
              <w:br/>
              <w:t>manufacturing site diversity,</w:t>
              <w:br/>
              <w:t>adversary-nation exposure percentage</w:t>
            </w:r>
          </w:p>
        </w:tc>
      </w:tr>
      <w:tr>
        <w:tc>
          <w:tcPr>
            <w:tcW w:type="dxa" w:w="1728"/>
            <w:shd w:fill="EAF0F6"/>
          </w:tcPr>
          <w:p>
            <w:r>
              <w:rPr>
                <w:sz w:val="18"/>
              </w:rPr>
              <w:t>Network</w:t>
              <w:br/>
              <w:t>Position</w:t>
            </w:r>
          </w:p>
        </w:tc>
        <w:tc>
          <w:tcPr>
            <w:tcW w:type="dxa" w:w="2880"/>
            <w:shd w:fill="EAF0F6"/>
          </w:tcPr>
          <w:p>
            <w:r>
              <w:rPr>
                <w:sz w:val="18"/>
              </w:rPr>
              <w:t>How many depots served,</w:t>
              <w:br/>
              <w:t>how many items supplied,</w:t>
              <w:br/>
              <w:t>supplier ecosystem role</w:t>
            </w:r>
          </w:p>
        </w:tc>
        <w:tc>
          <w:tcPr>
            <w:tcW w:type="dxa" w:w="4608"/>
            <w:shd w:fill="EAF0F6"/>
          </w:tcPr>
          <w:p>
            <w:r>
              <w:rPr>
                <w:sz w:val="18"/>
              </w:rPr>
              <w:t>Customer concentration index,</w:t>
              <w:br/>
              <w:t>product breadth score,</w:t>
              <w:br/>
              <w:t>sole-source contract count</w:t>
            </w:r>
          </w:p>
        </w:tc>
      </w:tr>
      <w:tr>
        <w:tc>
          <w:tcPr>
            <w:tcW w:type="dxa" w:w="1728"/>
          </w:tcPr>
          <w:p>
            <w:r>
              <w:rPr>
                <w:sz w:val="18"/>
              </w:rPr>
              <w:t>Risk</w:t>
              <w:br/>
              <w:t>Assessment</w:t>
            </w:r>
          </w:p>
        </w:tc>
        <w:tc>
          <w:tcPr>
            <w:tcW w:type="dxa" w:w="2880"/>
          </w:tcPr>
          <w:p>
            <w:r>
              <w:rPr>
                <w:sz w:val="18"/>
              </w:rPr>
              <w:t>Composite risk indicators,</w:t>
              <w:br/>
              <w:t>financial health,</w:t>
              <w:br/>
              <w:t>contract urgency</w:t>
            </w:r>
          </w:p>
        </w:tc>
        <w:tc>
          <w:tcPr>
            <w:tcW w:type="dxa" w:w="4608"/>
          </w:tcPr>
          <w:p>
            <w:r>
              <w:rPr>
                <w:sz w:val="18"/>
              </w:rPr>
              <w:t>Altman Z-score trajectory,</w:t>
              <w:br/>
              <w:t>insurance/bond status,</w:t>
              <w:br/>
              <w:t>expiring contract percentage</w:t>
            </w:r>
          </w:p>
        </w:tc>
      </w:tr>
    </w:tbl>
    <w:p/>
    <w:p>
      <w:pPr>
        <w:pBdr>
          <w:left w:val="single" w:sz="24" w:space="12" w:color="0E6B8A"/>
        </w:pBdr>
        <w:shd w:fill="EAF4F7" w:val="clear"/>
        <w:spacing w:before="160" w:after="160"/>
      </w:pPr>
      <w:r>
        <w:rPr>
          <w:b/>
          <w:color w:val="0D1B2A"/>
          <w:sz w:val="21"/>
        </w:rPr>
        <w:t>Why zones matter: A supplier's on-time delivery stays strong (Performance zone stable) while sourcing shifts from domestic to adversary-nation origins (Geographic Risk zone drifting). Without zone decomposition, the stable performance masks the geographic risk.</w:t>
      </w:r>
    </w:p>
    <w:p>
      <w:pPr>
        <w:pStyle w:val="Heading2"/>
      </w:pPr>
      <w:r>
        <w:rPr>
          <w:color w:val="1B4F72"/>
        </w:rPr>
        <w:t>3.3. NSN Item Behavioral Zones</w:t>
      </w:r>
    </w:p>
    <w:p>
      <w:pPr>
        <w:spacing w:after="120"/>
      </w:pPr>
      <w:r>
        <w:rPr>
          <w:b w:val="0"/>
          <w:color w:val="000000"/>
          <w:sz w:val="21"/>
        </w:rPr>
        <w:t>Each National Stock Number (NSN) has its own behavioral profile decomposed into five zones. Tracking items independently from suppliers enables detection of risks that emerge from the item's lifecycle rather than from any single supplier.</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Zone</w:t>
            </w:r>
          </w:p>
        </w:tc>
        <w:tc>
          <w:tcPr>
            <w:tcW w:type="dxa" w:w="2880"/>
            <w:shd w:fill="0D1B2A"/>
          </w:tcPr>
          <w:p>
            <w:pPr>
              <w:jc w:val="center"/>
            </w:pPr>
            <w:r>
              <w:rPr>
                <w:b/>
                <w:color w:val="FFFFFF"/>
                <w:sz w:val="18"/>
              </w:rPr>
              <w:t>What It Captures</w:t>
            </w:r>
          </w:p>
        </w:tc>
        <w:tc>
          <w:tcPr>
            <w:tcW w:type="dxa" w:w="4608"/>
            <w:shd w:fill="0D1B2A"/>
          </w:tcPr>
          <w:p>
            <w:pPr>
              <w:jc w:val="center"/>
            </w:pPr>
            <w:r>
              <w:rPr>
                <w:b/>
                <w:color w:val="FFFFFF"/>
                <w:sz w:val="18"/>
              </w:rPr>
              <w:t>Example Indicators</w:t>
            </w:r>
          </w:p>
        </w:tc>
      </w:tr>
      <w:tr>
        <w:tc>
          <w:tcPr>
            <w:tcW w:type="dxa" w:w="1728"/>
          </w:tcPr>
          <w:p>
            <w:r>
              <w:rPr>
                <w:sz w:val="18"/>
              </w:rPr>
              <w:t>Identity</w:t>
            </w:r>
          </w:p>
        </w:tc>
        <w:tc>
          <w:tcPr>
            <w:tcW w:type="dxa" w:w="2880"/>
          </w:tcPr>
          <w:p>
            <w:r>
              <w:rPr>
                <w:sz w:val="18"/>
              </w:rPr>
              <w:t>Nomenclature, criticality,</w:t>
              <w:br/>
              <w:t>platform, supply class</w:t>
            </w:r>
          </w:p>
        </w:tc>
        <w:tc>
          <w:tcPr>
            <w:tcW w:type="dxa" w:w="4608"/>
          </w:tcPr>
          <w:p>
            <w:r>
              <w:rPr>
                <w:sz w:val="18"/>
              </w:rPr>
              <w:t>Federal Supply Class, criticality code,</w:t>
              <w:br/>
              <w:t>weapon system association,</w:t>
              <w:br/>
              <w:t>shelf life classification</w:t>
            </w:r>
          </w:p>
        </w:tc>
      </w:tr>
      <w:tr>
        <w:tc>
          <w:tcPr>
            <w:tcW w:type="dxa" w:w="1728"/>
            <w:shd w:fill="EAF0F6"/>
          </w:tcPr>
          <w:p>
            <w:r>
              <w:rPr>
                <w:sz w:val="18"/>
              </w:rPr>
              <w:t>Demand</w:t>
              <w:br/>
              <w:t>Profile</w:t>
            </w:r>
          </w:p>
        </w:tc>
        <w:tc>
          <w:tcPr>
            <w:tcW w:type="dxa" w:w="2880"/>
            <w:shd w:fill="EAF0F6"/>
          </w:tcPr>
          <w:p>
            <w:r>
              <w:rPr>
                <w:sz w:val="18"/>
              </w:rPr>
              <w:t>Demand patterns, seasonality,</w:t>
              <w:br/>
              <w:t>exercise sensitivity</w:t>
            </w:r>
          </w:p>
        </w:tc>
        <w:tc>
          <w:tcPr>
            <w:tcW w:type="dxa" w:w="4608"/>
            <w:shd w:fill="EAF0F6"/>
          </w:tcPr>
          <w:p>
            <w:r>
              <w:rPr>
                <w:sz w:val="18"/>
              </w:rPr>
              <w:t>Monthly demand trajectory,</w:t>
              <w:br/>
              <w:t>seasonal demand coefficients,</w:t>
              <w:br/>
              <w:t>exercise-driven demand spikes</w:t>
            </w:r>
          </w:p>
        </w:tc>
      </w:tr>
      <w:tr>
        <w:tc>
          <w:tcPr>
            <w:tcW w:type="dxa" w:w="1728"/>
          </w:tcPr>
          <w:p>
            <w:r>
              <w:rPr>
                <w:sz w:val="18"/>
              </w:rPr>
              <w:t>Supply</w:t>
              <w:br/>
              <w:t>Network</w:t>
            </w:r>
          </w:p>
        </w:tc>
        <w:tc>
          <w:tcPr>
            <w:tcW w:type="dxa" w:w="2880"/>
          </w:tcPr>
          <w:p>
            <w:r>
              <w:rPr>
                <w:sz w:val="18"/>
              </w:rPr>
              <w:t>Supplier count, sole source</w:t>
              <w:br/>
              <w:t>flag, supplier concentration</w:t>
            </w:r>
          </w:p>
        </w:tc>
        <w:tc>
          <w:tcPr>
            <w:tcW w:type="dxa" w:w="4608"/>
          </w:tcPr>
          <w:p>
            <w:r>
              <w:rPr>
                <w:sz w:val="18"/>
              </w:rPr>
              <w:t>Active supplier count trend,</w:t>
              <w:br/>
              <w:t>Herfindahl concentration index,</w:t>
              <w:br/>
              <w:t>new entrant / exit frequency</w:t>
            </w:r>
          </w:p>
        </w:tc>
      </w:tr>
      <w:tr>
        <w:tc>
          <w:tcPr>
            <w:tcW w:type="dxa" w:w="1728"/>
            <w:shd w:fill="EAF0F6"/>
          </w:tcPr>
          <w:p>
            <w:r>
              <w:rPr>
                <w:sz w:val="18"/>
              </w:rPr>
              <w:t>Inventory</w:t>
              <w:br/>
              <w:t>Position</w:t>
            </w:r>
          </w:p>
        </w:tc>
        <w:tc>
          <w:tcPr>
            <w:tcW w:type="dxa" w:w="2880"/>
            <w:shd w:fill="EAF0F6"/>
          </w:tcPr>
          <w:p>
            <w:r>
              <w:rPr>
                <w:sz w:val="18"/>
              </w:rPr>
              <w:t>On-hand levels, safety stock</w:t>
              <w:br/>
              <w:t>ratios, consumption velocity</w:t>
            </w:r>
          </w:p>
        </w:tc>
        <w:tc>
          <w:tcPr>
            <w:tcW w:type="dxa" w:w="4608"/>
            <w:shd w:fill="EAF0F6"/>
          </w:tcPr>
          <w:p>
            <w:r>
              <w:rPr>
                <w:sz w:val="18"/>
              </w:rPr>
              <w:t>Days of supply trajectory,</w:t>
              <w:br/>
              <w:t>safety stock adequacy ratio,</w:t>
              <w:br/>
              <w:t>stockout frequency trend</w:t>
            </w:r>
          </w:p>
        </w:tc>
      </w:tr>
      <w:tr>
        <w:tc>
          <w:tcPr>
            <w:tcW w:type="dxa" w:w="1728"/>
          </w:tcPr>
          <w:p>
            <w:r>
              <w:rPr>
                <w:sz w:val="18"/>
              </w:rPr>
              <w:t>Financial</w:t>
              <w:br/>
              <w:t>Profile</w:t>
            </w:r>
          </w:p>
        </w:tc>
        <w:tc>
          <w:tcPr>
            <w:tcW w:type="dxa" w:w="2880"/>
          </w:tcPr>
          <w:p>
            <w:r>
              <w:rPr>
                <w:sz w:val="18"/>
              </w:rPr>
              <w:t>Unit pricing, shelf life,</w:t>
              <w:br/>
              <w:t>substitutability</w:t>
            </w:r>
          </w:p>
        </w:tc>
        <w:tc>
          <w:tcPr>
            <w:tcW w:type="dxa" w:w="4608"/>
          </w:tcPr>
          <w:p>
            <w:r>
              <w:rPr>
                <w:sz w:val="18"/>
              </w:rPr>
              <w:t>Unit price trajectory,</w:t>
              <w:br/>
              <w:t>price variance across suppliers,</w:t>
              <w:br/>
              <w:t>authorized substitute count</w:t>
            </w:r>
          </w:p>
        </w:tc>
      </w:tr>
    </w:tbl>
    <w:p/>
    <w:p>
      <w:pPr>
        <w:pStyle w:val="Heading2"/>
      </w:pPr>
      <w:r>
        <w:rPr>
          <w:color w:val="1B4F72"/>
        </w:rPr>
        <w:t>3.4. The Time Dimension</w:t>
      </w:r>
    </w:p>
    <w:p>
      <w:pPr>
        <w:spacing w:after="120"/>
      </w:pPr>
      <w:r>
        <w:rPr>
          <w:b w:val="0"/>
          <w:color w:val="000000"/>
          <w:sz w:val="21"/>
        </w:rPr>
        <w:t>The critical distinction between BEI and traditional supplier monitoring is the treatment of time. Traditional systems evaluate each reporting period independently: is this month's delivery rate above threshold? BEI evaluates behavioral trajectory: is this month's delivery rate consistent with the supplier's established pattern, and if not, in which direction is it moving?</w:t>
      </w:r>
    </w:p>
    <w:p>
      <w:pPr>
        <w:pStyle w:val="ListBullet"/>
        <w:ind w:left="360"/>
      </w:pPr>
      <w:r>
        <w:rPr>
          <w:b/>
          <w:sz w:val="21"/>
        </w:rPr>
        <w:t xml:space="preserve">Continuous Monitoring: </w:t>
      </w:r>
      <w:r>
        <w:rPr>
          <w:sz w:val="21"/>
        </w:rPr>
        <w:t>Weekly or monthly behavioral snapshots capture entity state over time, building a trajectory of behavioral evolution.</w:t>
      </w:r>
    </w:p>
    <w:p>
      <w:pPr>
        <w:pStyle w:val="ListBullet"/>
        <w:ind w:left="360"/>
      </w:pPr>
      <w:r>
        <w:rPr>
          <w:b/>
          <w:sz w:val="21"/>
        </w:rPr>
        <w:t xml:space="preserve">Drift Detection: </w:t>
      </w:r>
      <w:r>
        <w:rPr>
          <w:sz w:val="21"/>
        </w:rPr>
        <w:t>Gradual changes invisible to point-in-time audits become visible when the system tracks cumulative behavioral displacement over weeks and months.</w:t>
      </w:r>
    </w:p>
    <w:p>
      <w:pPr>
        <w:pStyle w:val="ListBullet"/>
        <w:ind w:left="360"/>
      </w:pPr>
      <w:r>
        <w:rPr>
          <w:b/>
          <w:sz w:val="21"/>
        </w:rPr>
        <w:t xml:space="preserve">Regime Detection: </w:t>
      </w:r>
      <w:r>
        <w:rPr>
          <w:sz w:val="21"/>
        </w:rPr>
        <w:t>Each entity is classified into a behavioral regime — Stable, Drifting, or Critical — based on the velocity, acceleration, and direction of its behavioral trajectory.</w:t>
      </w:r>
    </w:p>
    <w:p>
      <w:pPr>
        <w:spacing w:after="120"/>
      </w:pPr>
      <w:r>
        <w:rPr>
          <w:b w:val="0"/>
          <w:color w:val="000000"/>
          <w:sz w:val="21"/>
        </w:rPr>
        <w:t>A supplier classified as Drifting in the Geographic Risk zone and Stable in all other zones is exhibiting the behavioral signature of gradual adversary-nation sourcing shift — precisely the pattern that annual audits miss.</w:t>
      </w:r>
    </w:p>
    <w:p>
      <w:r>
        <w:br w:type="page"/>
      </w:r>
    </w:p>
    <w:p>
      <w:pPr>
        <w:pStyle w:val="Heading1"/>
      </w:pPr>
      <w:r>
        <w:rPr>
          <w:color w:val="0D1B2A"/>
        </w:rPr>
        <w:t>4. Relationship-Level Risk Detection</w:t>
      </w:r>
    </w:p>
    <w:p>
      <w:pPr>
        <w:spacing w:after="120"/>
      </w:pPr>
      <w:r>
        <w:rPr>
          <w:b w:val="0"/>
          <w:color w:val="000000"/>
          <w:sz w:val="21"/>
        </w:rPr>
        <w:t>Entity-level monitoring — tracking each supplier or part independently — misses risks that live in the relationships between entities. BEI extends behavioral analysis to pairwise relationships and network-level structures.</w:t>
      </w:r>
    </w:p>
    <w:p>
      <w:pPr>
        <w:pStyle w:val="Heading2"/>
      </w:pPr>
      <w:r>
        <w:rPr>
          <w:color w:val="1B4F72"/>
        </w:rPr>
        <w:t>4.1. Pairwise Relationships</w:t>
      </w:r>
    </w:p>
    <w:p>
      <w:pPr>
        <w:spacing w:after="120"/>
      </w:pPr>
      <w:r>
        <w:rPr>
          <w:b w:val="0"/>
          <w:color w:val="000000"/>
          <w:sz w:val="21"/>
        </w:rPr>
        <w:t>A pairwise relationship captures how two specific entities interact. The behavioral profile of the relationship can change even when both individual entity profiles appear normal.</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Relationship</w:t>
            </w:r>
          </w:p>
        </w:tc>
        <w:tc>
          <w:tcPr>
            <w:tcW w:type="dxa" w:w="3168"/>
            <w:shd w:fill="0D1B2A"/>
          </w:tcPr>
          <w:p>
            <w:pPr>
              <w:jc w:val="center"/>
            </w:pPr>
            <w:r>
              <w:rPr>
                <w:b/>
                <w:color w:val="FFFFFF"/>
                <w:sz w:val="18"/>
              </w:rPr>
              <w:t>What It Captures</w:t>
            </w:r>
          </w:p>
        </w:tc>
        <w:tc>
          <w:tcPr>
            <w:tcW w:type="dxa" w:w="4032"/>
            <w:shd w:fill="0D1B2A"/>
          </w:tcPr>
          <w:p>
            <w:pPr>
              <w:jc w:val="center"/>
            </w:pPr>
            <w:r>
              <w:rPr>
                <w:b/>
                <w:color w:val="FFFFFF"/>
                <w:sz w:val="18"/>
              </w:rPr>
              <w:t>Risk Detected</w:t>
            </w:r>
          </w:p>
        </w:tc>
      </w:tr>
      <w:tr>
        <w:tc>
          <w:tcPr>
            <w:tcW w:type="dxa" w:w="1872"/>
          </w:tcPr>
          <w:p>
            <w:r>
              <w:rPr>
                <w:sz w:val="18"/>
              </w:rPr>
              <w:t>Supplier x NSN</w:t>
            </w:r>
          </w:p>
        </w:tc>
        <w:tc>
          <w:tcPr>
            <w:tcW w:type="dxa" w:w="3168"/>
          </w:tcPr>
          <w:p>
            <w:r>
              <w:rPr>
                <w:sz w:val="18"/>
              </w:rPr>
              <w:t>How does THIS supplier perform</w:t>
              <w:br/>
              <w:t>for THIS specific part?</w:t>
            </w:r>
          </w:p>
        </w:tc>
        <w:tc>
          <w:tcPr>
            <w:tcW w:type="dxa" w:w="4032"/>
          </w:tcPr>
          <w:p>
            <w:r>
              <w:rPr>
                <w:sz w:val="18"/>
              </w:rPr>
              <w:t>Quality drift for one part while</w:t>
              <w:br/>
              <w:t>stable for others = targeted</w:t>
              <w:br/>
              <w:t>substitution</w:t>
            </w:r>
          </w:p>
        </w:tc>
      </w:tr>
      <w:tr>
        <w:tc>
          <w:tcPr>
            <w:tcW w:type="dxa" w:w="1872"/>
            <w:shd w:fill="EAF0F6"/>
          </w:tcPr>
          <w:p>
            <w:r>
              <w:rPr>
                <w:sz w:val="18"/>
              </w:rPr>
              <w:t>Supplier x</w:t>
              <w:br/>
              <w:t>Country of Origin</w:t>
            </w:r>
          </w:p>
        </w:tc>
        <w:tc>
          <w:tcPr>
            <w:tcW w:type="dxa" w:w="3168"/>
            <w:shd w:fill="EAF0F6"/>
          </w:tcPr>
          <w:p>
            <w:r>
              <w:rPr>
                <w:sz w:val="18"/>
              </w:rPr>
              <w:t>Where is THIS supplier sourcing</w:t>
              <w:br/>
              <w:t>components?</w:t>
            </w:r>
          </w:p>
        </w:tc>
        <w:tc>
          <w:tcPr>
            <w:tcW w:type="dxa" w:w="4032"/>
            <w:shd w:fill="EAF0F6"/>
          </w:tcPr>
          <w:p>
            <w:r>
              <w:rPr>
                <w:sz w:val="18"/>
              </w:rPr>
              <w:t>Gradual shift to adversary-nation</w:t>
              <w:br/>
              <w:t>origins = SCRM risk</w:t>
            </w:r>
          </w:p>
        </w:tc>
      </w:tr>
      <w:tr>
        <w:tc>
          <w:tcPr>
            <w:tcW w:type="dxa" w:w="1872"/>
          </w:tcPr>
          <w:p>
            <w:r>
              <w:rPr>
                <w:sz w:val="18"/>
              </w:rPr>
              <w:t>NSN x Location</w:t>
            </w:r>
          </w:p>
        </w:tc>
        <w:tc>
          <w:tcPr>
            <w:tcW w:type="dxa" w:w="3168"/>
          </w:tcPr>
          <w:p>
            <w:r>
              <w:rPr>
                <w:sz w:val="18"/>
              </w:rPr>
              <w:t>Demand patterns for THIS part</w:t>
              <w:br/>
              <w:t>at THIS depot</w:t>
            </w:r>
          </w:p>
        </w:tc>
        <w:tc>
          <w:tcPr>
            <w:tcW w:type="dxa" w:w="4032"/>
          </w:tcPr>
          <w:p>
            <w:r>
              <w:rPr>
                <w:sz w:val="18"/>
              </w:rPr>
              <w:t>Unusual demand composition at</w:t>
              <w:br/>
              <w:t>specific locations = diversion</w:t>
            </w:r>
          </w:p>
        </w:tc>
      </w:tr>
      <w:tr>
        <w:tc>
          <w:tcPr>
            <w:tcW w:type="dxa" w:w="1872"/>
            <w:shd w:fill="EAF0F6"/>
          </w:tcPr>
          <w:p>
            <w:r>
              <w:rPr>
                <w:sz w:val="18"/>
              </w:rPr>
              <w:t>NSN x Bill of</w:t>
              <w:br/>
              <w:t>Materials</w:t>
            </w:r>
          </w:p>
        </w:tc>
        <w:tc>
          <w:tcPr>
            <w:tcW w:type="dxa" w:w="3168"/>
            <w:shd w:fill="EAF0F6"/>
          </w:tcPr>
          <w:p>
            <w:r>
              <w:rPr>
                <w:sz w:val="18"/>
              </w:rPr>
              <w:t>Component composition</w:t>
              <w:br/>
              <w:t>changes without notification</w:t>
            </w:r>
          </w:p>
        </w:tc>
        <w:tc>
          <w:tcPr>
            <w:tcW w:type="dxa" w:w="4032"/>
            <w:shd w:fill="EAF0F6"/>
          </w:tcPr>
          <w:p>
            <w:r>
              <w:rPr>
                <w:sz w:val="18"/>
              </w:rPr>
              <w:t>SBOM drift = counterfeit or</w:t>
              <w:br/>
              <w:t>unauthorized substitution risk</w:t>
            </w:r>
          </w:p>
        </w:tc>
      </w:tr>
      <w:tr>
        <w:tc>
          <w:tcPr>
            <w:tcW w:type="dxa" w:w="1872"/>
          </w:tcPr>
          <w:p>
            <w:r>
              <w:rPr>
                <w:sz w:val="18"/>
              </w:rPr>
              <w:t>Supplier x</w:t>
              <w:br/>
              <w:t>Supplier</w:t>
            </w:r>
          </w:p>
        </w:tc>
        <w:tc>
          <w:tcPr>
            <w:tcW w:type="dxa" w:w="3168"/>
          </w:tcPr>
          <w:p>
            <w:r>
              <w:rPr>
                <w:sz w:val="18"/>
              </w:rPr>
              <w:t>Behavioral correlation between</w:t>
              <w:br/>
              <w:t>"independent" suppliers</w:t>
            </w:r>
          </w:p>
        </w:tc>
        <w:tc>
          <w:tcPr>
            <w:tcW w:type="dxa" w:w="4032"/>
          </w:tcPr>
          <w:p>
            <w:r>
              <w:rPr>
                <w:sz w:val="18"/>
              </w:rPr>
              <w:t>Hidden common sub-tier source</w:t>
              <w:br/>
              <w:t>= concentration risk</w:t>
            </w:r>
          </w:p>
        </w:tc>
      </w:tr>
    </w:tbl>
    <w:p/>
    <w:p>
      <w:pPr>
        <w:spacing w:after="120"/>
      </w:pPr>
      <w:r>
        <w:rPr>
          <w:b w:val="0"/>
          <w:color w:val="000000"/>
          <w:sz w:val="21"/>
        </w:rPr>
        <w:t>Example: Supplier A's overall quality rate looks healthy. Part X's quality rate across all suppliers looks healthy. Both entities pass at the aggregate level. But Supplier A's quality specifically for Part X has been steadily degrading over months — a targeted degradation invisible at the entity level, visible only when the specific supplier-part relationship is tracked over time.</w:t>
      </w:r>
    </w:p>
    <w:p>
      <w:pPr>
        <w:spacing w:after="120"/>
      </w:pPr>
      <w:r>
        <w:rPr>
          <w:b w:val="0"/>
          <w:color w:val="000000"/>
          <w:sz w:val="21"/>
        </w:rPr>
        <w:t>The Supplier-NSN and NSN-Location relationships are already built and demonstrated in the supply chain proof of concept (Section 7.3). The Supplier-Country, NSN-Bill-of-Materials, and Supplier-Supplier relationships use the identical relationship machinery and are added by introducing the corresponding entity profiles — country-of-origin, SBOM component, and supplier peer entities — making them direct, low-risk extensions rather than new research.</w:t>
      </w:r>
    </w:p>
    <w:p>
      <w:pPr>
        <w:pStyle w:val="Heading2"/>
      </w:pPr>
      <w:r>
        <w:rPr>
          <w:color w:val="1B4F72"/>
        </w:rPr>
        <w:t>4.2. Network-Level Risk</w:t>
      </w:r>
    </w:p>
    <w:p>
      <w:pPr>
        <w:spacing w:after="120"/>
      </w:pPr>
      <w:r>
        <w:rPr>
          <w:b w:val="0"/>
          <w:color w:val="000000"/>
          <w:sz w:val="21"/>
        </w:rPr>
        <w:t>Beyond pairwise relationships, BEI analyzes the supply chain as a network graph to detect structural risks that no entity-level or pairwise analysis can reveal.</w:t>
      </w:r>
    </w:p>
    <w:p>
      <w:pPr>
        <w:spacing w:after="40"/>
      </w:pPr>
      <w:r>
        <w:rPr>
          <w:b/>
          <w:color w:val="000000"/>
          <w:sz w:val="21"/>
        </w:rPr>
        <w:t>Multi-Hop Risk Propagation</w:t>
      </w:r>
    </w:p>
    <w:p>
      <w:pPr>
        <w:spacing w:after="120"/>
      </w:pPr>
      <w:r>
        <w:rPr>
          <w:b w:val="0"/>
          <w:color w:val="000000"/>
          <w:sz w:val="21"/>
        </w:rPr>
        <w:t>A Tier-1 supplier is fully compliant with all SCRM requirements. Its Tier-2 sub-supplier sources from an unknown Tier-3 manufacturer in an adversary nation. Entity-level monitoring of the Tier-1 supplier shows all green. Network analysis traces the supply path through multiple hops and identifies the adversary-nation connection.</w:t>
      </w:r>
    </w:p>
    <w:p>
      <w:pPr>
        <w:spacing w:after="40"/>
      </w:pPr>
      <w:r>
        <w:rPr>
          <w:b/>
          <w:color w:val="000000"/>
          <w:sz w:val="21"/>
        </w:rPr>
        <w:t>Hidden Single Points of Failure</w:t>
      </w:r>
    </w:p>
    <w:p>
      <w:pPr>
        <w:spacing w:after="120"/>
      </w:pPr>
      <w:r>
        <w:rPr>
          <w:b w:val="0"/>
          <w:color w:val="000000"/>
          <w:sz w:val="21"/>
        </w:rPr>
        <w:t>Two suppliers appear independent: different CAGE codes, different locations, different contract vehicles. But both source a critical sub-component from the same Tier-2 manufacturer. If that manufacturer fails, both supply lines fail simultaneously. BEI detects this through behavioral correlation analysis — when two supposedly independent suppliers exhibit correlated behavioral changes, the system infers a hidden common dependency.</w:t>
      </w:r>
    </w:p>
    <w:p>
      <w:pPr>
        <w:spacing w:after="40"/>
      </w:pPr>
      <w:r>
        <w:rPr>
          <w:b/>
          <w:color w:val="000000"/>
          <w:sz w:val="21"/>
        </w:rPr>
        <w:t>Cascade Prediction</w:t>
      </w:r>
    </w:p>
    <w:p>
      <w:pPr>
        <w:spacing w:after="120"/>
      </w:pPr>
      <w:r>
        <w:rPr>
          <w:b w:val="0"/>
          <w:color w:val="000000"/>
          <w:sz w:val="21"/>
        </w:rPr>
        <w:t>When one supplier fails, which depots are affected? Which missions are degraded? Network analysis propagates the impact of a supplier disruption through the supply graph, identifying every NSN, depot, and mission that depends on the failed supplier either directly or through sub-tier dependencies.</w:t>
      </w:r>
    </w:p>
    <w:p>
      <w:pPr>
        <w:pStyle w:val="Heading2"/>
      </w:pPr>
      <w:r>
        <w:rPr>
          <w:color w:val="1B4F72"/>
        </w:rPr>
        <w:t>4.3. The What vs How Much Principle</w:t>
      </w:r>
    </w:p>
    <w:p>
      <w:pPr>
        <w:spacing w:after="120"/>
      </w:pPr>
      <w:r>
        <w:rPr>
          <w:b w:val="0"/>
          <w:color w:val="000000"/>
          <w:sz w:val="21"/>
        </w:rPr>
        <w:t>The foundational principle of BEI for supply chain risk is the distinction between what changed and how much changed.</w:t>
      </w:r>
    </w:p>
    <w:p>
      <w:pPr>
        <w:spacing w:after="120"/>
      </w:pPr>
      <w:r>
        <w:rPr>
          <w:b w:val="0"/>
          <w:color w:val="000000"/>
          <w:sz w:val="21"/>
        </w:rPr>
        <w:t>Consider a supplier that delivers the same volume, at the same price, with the same on-time rate — but quietly shifts component sourcing from domestic origins to Chinese origins. Traditional metrics are all green: volume unchanged, price unchanged, delivery unchanged. Every threshold-based monitor shows a healthy supplier.</w:t>
      </w:r>
    </w:p>
    <w:p>
      <w:pPr>
        <w:spacing w:after="120"/>
      </w:pPr>
      <w:r>
        <w:rPr>
          <w:b w:val="0"/>
          <w:color w:val="000000"/>
          <w:sz w:val="21"/>
        </w:rPr>
        <w:t>BEI relationship analysis detects the change: the Supplier x Country of Origin behavioral relationship has drifted. The supplier's Performance zone is stable. The Geographic Risk zone is changing direction. The system flags this as a SCRM risk — not because any magnitude threshold was crossed, but because the behavioral direction changed.</w:t>
      </w:r>
    </w:p>
    <w:p>
      <w:pPr>
        <w:pBdr>
          <w:left w:val="single" w:sz="24" w:space="12" w:color="0E6B8A"/>
        </w:pBdr>
        <w:shd w:fill="EAF4F7" w:val="clear"/>
        <w:spacing w:before="160" w:after="160"/>
      </w:pPr>
      <w:r>
        <w:rPr>
          <w:b/>
          <w:color w:val="0D1B2A"/>
          <w:sz w:val="21"/>
        </w:rPr>
        <w:t>This is the supply chain equivalent of the insider threat: behavior changes WHAT, not HOW MUCH. The supplier looks the same by every traditional measure while fundamentally altering its sourcing strategy.</w:t>
      </w:r>
    </w:p>
    <w:p>
      <w:r>
        <w:br w:type="page"/>
      </w:r>
    </w:p>
    <w:p>
      <w:pPr>
        <w:pStyle w:val="Heading1"/>
      </w:pPr>
      <w:r>
        <w:rPr>
          <w:color w:val="0D1B2A"/>
        </w:rPr>
        <w:t>5. Detection Capabilities</w:t>
      </w:r>
    </w:p>
    <w:p>
      <w:pPr>
        <w:spacing w:after="120"/>
      </w:pPr>
      <w:r>
        <w:rPr>
          <w:b w:val="0"/>
          <w:color w:val="000000"/>
          <w:sz w:val="21"/>
        </w:rPr>
        <w:t>BEI's multi-layer analysis — entity profiles, pairwise relationships, and network graphs — enables detection of five categories of supply chain risk that traditional monitoring consistently misses.</w:t>
      </w:r>
    </w:p>
    <w:p>
      <w:pPr>
        <w:pStyle w:val="Heading2"/>
      </w:pPr>
      <w:r>
        <w:rPr>
          <w:color w:val="1B4F72"/>
        </w:rPr>
        <w:t>5.1. Counterfeit Part Detection</w:t>
      </w:r>
    </w:p>
    <w:p>
      <w:pPr>
        <w:spacing w:after="120"/>
      </w:pPr>
      <w:r>
        <w:rPr>
          <w:b w:val="0"/>
          <w:color w:val="000000"/>
          <w:sz w:val="21"/>
        </w:rPr>
        <w:t>Counterfeit parts enter the defense supply chain through sophisticated distribution networks where components are relabeled, remarked, or entirely fabricated. BEI detects counterfeit risk through three behavioral signatures.</w:t>
      </w:r>
    </w:p>
    <w:p>
      <w:pPr>
        <w:pStyle w:val="ListBullet"/>
        <w:ind w:left="360"/>
      </w:pPr>
      <w:r>
        <w:rPr>
          <w:b/>
          <w:sz w:val="21"/>
        </w:rPr>
        <w:t xml:space="preserve">Failure Rate Divergence: </w:t>
      </w:r>
      <w:r>
        <w:rPr>
          <w:sz w:val="21"/>
        </w:rPr>
        <w:t>NSN failure rate diverges between locations receiving from different suppliers. When the same part fails markedly more often from one supplier than another, the NSN x Supplier relationship drift signals a sourcing quality difference that aggregate part-level statistics conceal.</w:t>
      </w:r>
    </w:p>
    <w:p>
      <w:pPr>
        <w:pStyle w:val="ListBullet"/>
        <w:ind w:left="360"/>
      </w:pPr>
      <w:r>
        <w:rPr>
          <w:b/>
          <w:sz w:val="21"/>
        </w:rPr>
        <w:t xml:space="preserve">Manufacturer Relationship Drift: </w:t>
      </w:r>
      <w:r>
        <w:rPr>
          <w:sz w:val="21"/>
        </w:rPr>
        <w:t>The NSN x Manufacturer relationship changes — a different manufacturer of origin appears on inspection records while the label remains the same. BEI tracks this relationship continuously, not just at contract award.</w:t>
      </w:r>
    </w:p>
    <w:p>
      <w:pPr>
        <w:pStyle w:val="ListBullet"/>
        <w:ind w:left="360"/>
      </w:pPr>
      <w:r>
        <w:rPr>
          <w:b/>
          <w:sz w:val="21"/>
        </w:rPr>
        <w:t xml:space="preserve">SBOM Composition Drift: </w:t>
      </w:r>
      <w:r>
        <w:rPr>
          <w:sz w:val="21"/>
        </w:rPr>
        <w:t>The component composition of a delivered assembly changes without engineering notification. BEI monitors SBOM behavioral profiles for drift in component identity, source, or specification.</w:t>
      </w:r>
    </w:p>
    <w:p>
      <w:pPr>
        <w:pStyle w:val="Heading2"/>
      </w:pPr>
      <w:r>
        <w:rPr>
          <w:color w:val="1B4F72"/>
        </w:rPr>
        <w:t>5.2. Adversary-Nation Sourcing (SCRM)</w:t>
      </w:r>
    </w:p>
    <w:p>
      <w:pPr>
        <w:spacing w:after="120"/>
      </w:pPr>
      <w:r>
        <w:rPr>
          <w:b w:val="0"/>
          <w:color w:val="000000"/>
          <w:sz w:val="21"/>
        </w:rPr>
        <w:t>Adversary-nation sourcing risk is the gradual shift of component origins to countries designated as supply chain risks. This shift typically occurs over months, making it invisible to annual audits.</w:t>
      </w:r>
    </w:p>
    <w:p>
      <w:pPr>
        <w:pStyle w:val="ListBullet"/>
        <w:ind w:left="360"/>
      </w:pPr>
      <w:r>
        <w:rPr>
          <w:b/>
          <w:sz w:val="21"/>
        </w:rPr>
        <w:t xml:space="preserve">Supplier x Country Drift: </w:t>
      </w:r>
      <w:r>
        <w:rPr>
          <w:sz w:val="21"/>
        </w:rPr>
        <w:t>The Supplier x Country of Origin relationship drifts over months as sourcing geography shifts incrementally. Each monthly snapshot looks similar to the previous one; the cumulative trajectory reveals a fundamental change.</w:t>
      </w:r>
    </w:p>
    <w:p>
      <w:pPr>
        <w:pStyle w:val="ListBullet"/>
        <w:ind w:left="360"/>
      </w:pPr>
      <w:r>
        <w:rPr>
          <w:b/>
          <w:sz w:val="21"/>
        </w:rPr>
        <w:t xml:space="preserve">Multi-Hop Network Analysis: </w:t>
      </w:r>
      <w:r>
        <w:rPr>
          <w:sz w:val="21"/>
        </w:rPr>
        <w:t>Network analysis traces supply paths through intermediaries to identify adversary-nation connections that are two or three hops removed from the prime supplier. A compliant Tier-1 supplier may unknowingly source from an adversary-nation Tier-3 manufacturer.</w:t>
      </w:r>
    </w:p>
    <w:p>
      <w:pPr>
        <w:pStyle w:val="ListBullet"/>
        <w:ind w:left="360"/>
      </w:pPr>
      <w:r>
        <w:rPr>
          <w:b/>
          <w:sz w:val="21"/>
        </w:rPr>
        <w:t xml:space="preserve">Section 889 Compliance: </w:t>
      </w:r>
      <w:r>
        <w:rPr>
          <w:sz w:val="21"/>
        </w:rPr>
        <w:t>BEI provides continuous behavioral monitoring of country-of-origin relationships, extending Section 889 compliance beyond the point-in-time assessment at contract award to ongoing operational monitoring.</w:t>
      </w:r>
    </w:p>
    <w:p>
      <w:pPr>
        <w:pStyle w:val="Heading2"/>
      </w:pPr>
      <w:r>
        <w:rPr>
          <w:color w:val="1B4F72"/>
        </w:rPr>
        <w:t>5.3. Supplier Concentration Risk</w:t>
      </w:r>
    </w:p>
    <w:p>
      <w:pPr>
        <w:spacing w:after="120"/>
      </w:pPr>
      <w:r>
        <w:rPr>
          <w:b w:val="0"/>
          <w:color w:val="000000"/>
          <w:sz w:val="21"/>
        </w:rPr>
        <w:t>Concentration risk arises when the supply chain depends on fewer independent sources than it appears to have. BEI detects hidden concentration through behavioral correlation and network centrality analysis.</w:t>
      </w:r>
    </w:p>
    <w:p>
      <w:pPr>
        <w:pStyle w:val="ListBullet"/>
        <w:ind w:left="360"/>
      </w:pPr>
      <w:r>
        <w:rPr>
          <w:b/>
          <w:sz w:val="21"/>
        </w:rPr>
        <w:t xml:space="preserve">Supplier Behavioral Correlation: </w:t>
      </w:r>
      <w:r>
        <w:rPr>
          <w:sz w:val="21"/>
        </w:rPr>
        <w:t>When two supposedly independent suppliers exhibit correlated behavioral changes — simultaneous delivery delays, coordinated price increases, or synchronized quality shifts — BEI infers a hidden common dependency at the sub-tier level.</w:t>
      </w:r>
    </w:p>
    <w:p>
      <w:pPr>
        <w:pStyle w:val="ListBullet"/>
        <w:ind w:left="360"/>
      </w:pPr>
      <w:r>
        <w:rPr>
          <w:b/>
          <w:sz w:val="21"/>
        </w:rPr>
        <w:t xml:space="preserve">Network Centrality Analysis: </w:t>
      </w:r>
      <w:r>
        <w:rPr>
          <w:sz w:val="21"/>
        </w:rPr>
        <w:t>Graph analysis identifies entities whose removal would disproportionately impact the supply network. A supplier that appears minor by contract value may be the sole source for a component used in 30 weapon systems.</w:t>
      </w:r>
    </w:p>
    <w:p>
      <w:pPr>
        <w:pStyle w:val="ListBullet"/>
        <w:ind w:left="360"/>
      </w:pPr>
      <w:r>
        <w:rPr>
          <w:b/>
          <w:sz w:val="21"/>
        </w:rPr>
        <w:t xml:space="preserve">Impact Propagation Modeling: </w:t>
      </w:r>
      <w:r>
        <w:rPr>
          <w:sz w:val="21"/>
        </w:rPr>
        <w:t>If Supplier X fails, the system propagates the impact through the supply graph to identify every affected NSN, depot, and mission — including indirect impacts through sub-tier dependencies.</w:t>
      </w:r>
    </w:p>
    <w:p>
      <w:pPr>
        <w:pStyle w:val="Heading2"/>
      </w:pPr>
      <w:r>
        <w:rPr>
          <w:color w:val="1B4F72"/>
        </w:rPr>
        <w:t>5.4. Demand Diversion and Fraud</w:t>
      </w:r>
    </w:p>
    <w:p>
      <w:pPr>
        <w:spacing w:after="120"/>
      </w:pPr>
      <w:r>
        <w:rPr>
          <w:b w:val="0"/>
          <w:color w:val="000000"/>
          <w:sz w:val="21"/>
        </w:rPr>
        <w:t>Demand diversion occurs when parts ordered for one purpose are redirected to unauthorized uses. BEI detects diversion through relationship-level anomalies.</w:t>
      </w:r>
    </w:p>
    <w:p>
      <w:pPr>
        <w:pStyle w:val="ListBullet"/>
        <w:ind w:left="360"/>
      </w:pPr>
      <w:r>
        <w:rPr>
          <w:b/>
          <w:sz w:val="21"/>
        </w:rPr>
        <w:t xml:space="preserve">Requestor x NSN x Urgency Drift: </w:t>
      </w:r>
      <w:r>
        <w:rPr>
          <w:sz w:val="21"/>
        </w:rPr>
        <w:t>The same part is requisitioned by a different set of requestors with elevated urgency codes. The total volume looks normal; the requestor composition has changed.</w:t>
      </w:r>
    </w:p>
    <w:p>
      <w:pPr>
        <w:pStyle w:val="ListBullet"/>
        <w:ind w:left="360"/>
      </w:pPr>
      <w:r>
        <w:rPr>
          <w:b/>
          <w:sz w:val="21"/>
        </w:rPr>
        <w:t xml:space="preserve">Location Demand Composition: </w:t>
      </w:r>
      <w:r>
        <w:rPr>
          <w:sz w:val="21"/>
        </w:rPr>
        <w:t>Demand volume at a specific location remains within normal bounds, but the mix of items being demanded changes. BEI detects the composition shift through NSN x Location relationship analysis.</w:t>
      </w:r>
    </w:p>
    <w:p>
      <w:pPr>
        <w:pStyle w:val="ListBullet"/>
        <w:ind w:left="360"/>
      </w:pPr>
      <w:r>
        <w:rPr>
          <w:b/>
          <w:sz w:val="21"/>
        </w:rPr>
        <w:t xml:space="preserve">Sequence Anomaly Detection: </w:t>
      </w:r>
      <w:r>
        <w:rPr>
          <w:sz w:val="21"/>
        </w:rPr>
        <w:t>Orders that progress through acceptance without standard inspection steps create a behavioral sequence anomaly — the expected workflow pattern has changed.</w:t>
      </w:r>
    </w:p>
    <w:p>
      <w:pPr>
        <w:pStyle w:val="Heading2"/>
      </w:pPr>
      <w:r>
        <w:rPr>
          <w:color w:val="1B4F72"/>
        </w:rPr>
        <w:t>5.5. Contract and Financial Risk</w:t>
      </w:r>
    </w:p>
    <w:p>
      <w:pPr>
        <w:spacing w:after="120"/>
      </w:pPr>
      <w:r>
        <w:rPr>
          <w:b w:val="0"/>
          <w:color w:val="000000"/>
          <w:sz w:val="21"/>
        </w:rPr>
        <w:t>Supplier financial distress frequently precedes quality degradation and delivery failures. BEI correlates behavioral drift with financial health indicators to provide early warning.</w:t>
      </w:r>
    </w:p>
    <w:p>
      <w:pPr>
        <w:pStyle w:val="ListBullet"/>
        <w:ind w:left="360"/>
      </w:pPr>
      <w:r>
        <w:rPr>
          <w:b/>
          <w:sz w:val="21"/>
        </w:rPr>
        <w:t xml:space="preserve">Behavioral-Financial Correlation: </w:t>
      </w:r>
      <w:r>
        <w:rPr>
          <w:sz w:val="21"/>
        </w:rPr>
        <w:t>When a supplier's Performance Trajectory zone begins drifting concurrently with deterioration in its Risk Assessment zone, BEI flags the correlation as a financial distress indicator.</w:t>
      </w:r>
    </w:p>
    <w:p>
      <w:pPr>
        <w:pStyle w:val="ListBullet"/>
        <w:ind w:left="360"/>
      </w:pPr>
      <w:r>
        <w:rPr>
          <w:b/>
          <w:sz w:val="21"/>
        </w:rPr>
        <w:t xml:space="preserve">Contract Expiry Risk: </w:t>
      </w:r>
      <w:r>
        <w:rPr>
          <w:sz w:val="21"/>
        </w:rPr>
        <w:t>Contracts approaching expiration combined with degrading delivery performance signal a supplier that may be disinvesting in the relationship — a flight risk for critical supply lines.</w:t>
      </w:r>
    </w:p>
    <w:p>
      <w:pPr>
        <w:pStyle w:val="ListBullet"/>
        <w:ind w:left="360"/>
      </w:pPr>
      <w:r>
        <w:rPr>
          <w:b/>
          <w:sz w:val="21"/>
        </w:rPr>
        <w:t xml:space="preserve">Price-Quality Divergence: </w:t>
      </w:r>
      <w:r>
        <w:rPr>
          <w:sz w:val="21"/>
        </w:rPr>
        <w:t>A supplier maintains stable pricing while failure rates increase. The cost per unit is unchanged, but the cost per functioning unit is rising. BEI detects this through the divergence between the financial and performance behavioral zones.</w:t>
      </w:r>
    </w:p>
    <w:p>
      <w:r>
        <w:br w:type="page"/>
      </w:r>
    </w:p>
    <w:p>
      <w:pPr>
        <w:pStyle w:val="Heading1"/>
      </w:pPr>
      <w:r>
        <w:rPr>
          <w:color w:val="0D1B2A"/>
        </w:rPr>
        <w:t>6. Operational Deployment</w:t>
      </w:r>
    </w:p>
    <w:p>
      <w:pPr>
        <w:pStyle w:val="Heading2"/>
      </w:pPr>
      <w:r>
        <w:rPr>
          <w:color w:val="1B4F72"/>
        </w:rPr>
        <w:t>6.1. Data Requirements</w:t>
      </w:r>
    </w:p>
    <w:p>
      <w:pPr>
        <w:spacing w:after="120"/>
      </w:pPr>
      <w:r>
        <w:rPr>
          <w:b w:val="0"/>
          <w:color w:val="000000"/>
          <w:sz w:val="21"/>
        </w:rPr>
        <w:t>BEI integrates data from existing DLA and DoD systems. No new data collection is required — the system operates on transaction records, quality reports, and supplier profiles already maintained across the enterprise.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fill="0D1B2A"/>
          </w:tcPr>
          <w:p>
            <w:pPr>
              <w:jc w:val="center"/>
            </w:pPr>
            <w:r>
              <w:rPr>
                <w:b/>
                <w:color w:val="FFFFFF"/>
                <w:sz w:val="18"/>
              </w:rPr>
              <w:t>Data Source</w:t>
            </w:r>
          </w:p>
        </w:tc>
        <w:tc>
          <w:tcPr>
            <w:tcW w:type="dxa" w:w="3168"/>
            <w:shd w:fill="0D1B2A"/>
          </w:tcPr>
          <w:p>
            <w:pPr>
              <w:jc w:val="center"/>
            </w:pPr>
            <w:r>
              <w:rPr>
                <w:b/>
                <w:color w:val="FFFFFF"/>
                <w:sz w:val="18"/>
              </w:rPr>
              <w:t>Description</w:t>
            </w:r>
          </w:p>
        </w:tc>
        <w:tc>
          <w:tcPr>
            <w:tcW w:type="dxa" w:w="1152"/>
            <w:shd w:fill="0D1B2A"/>
          </w:tcPr>
          <w:p>
            <w:pPr>
              <w:jc w:val="center"/>
            </w:pPr>
            <w:r>
              <w:rPr>
                <w:b/>
                <w:color w:val="FFFFFF"/>
                <w:sz w:val="18"/>
              </w:rPr>
              <w:t>Cadence</w:t>
            </w:r>
          </w:p>
        </w:tc>
        <w:tc>
          <w:tcPr>
            <w:tcW w:type="dxa" w:w="2592"/>
            <w:shd w:fill="0D1B2A"/>
          </w:tcPr>
          <w:p>
            <w:pPr>
              <w:jc w:val="center"/>
            </w:pPr>
            <w:r>
              <w:rPr>
                <w:b/>
                <w:color w:val="FFFFFF"/>
                <w:sz w:val="18"/>
              </w:rPr>
              <w:t>Integration</w:t>
            </w:r>
          </w:p>
        </w:tc>
      </w:tr>
      <w:tr>
        <w:tc>
          <w:tcPr>
            <w:tcW w:type="dxa" w:w="1728"/>
          </w:tcPr>
          <w:p>
            <w:r>
              <w:rPr>
                <w:sz w:val="18"/>
              </w:rPr>
              <w:t>Procurement</w:t>
              <w:br/>
              <w:t>Transactions</w:t>
            </w:r>
          </w:p>
        </w:tc>
        <w:tc>
          <w:tcPr>
            <w:tcW w:type="dxa" w:w="3168"/>
          </w:tcPr>
          <w:p>
            <w:r>
              <w:rPr>
                <w:sz w:val="18"/>
              </w:rPr>
              <w:t>Purchase orders, delivery orders,</w:t>
              <w:br/>
              <w:t>contract actions</w:t>
            </w:r>
          </w:p>
        </w:tc>
        <w:tc>
          <w:tcPr>
            <w:tcW w:type="dxa" w:w="1152"/>
          </w:tcPr>
          <w:p>
            <w:r>
              <w:rPr>
                <w:sz w:val="18"/>
              </w:rPr>
              <w:t>Daily</w:t>
            </w:r>
          </w:p>
        </w:tc>
        <w:tc>
          <w:tcPr>
            <w:tcW w:type="dxa" w:w="2592"/>
          </w:tcPr>
          <w:p>
            <w:r>
              <w:rPr>
                <w:sz w:val="18"/>
              </w:rPr>
              <w:t>Batch extract from</w:t>
              <w:br/>
              <w:t>contracting systems</w:t>
            </w:r>
          </w:p>
        </w:tc>
      </w:tr>
      <w:tr>
        <w:tc>
          <w:tcPr>
            <w:tcW w:type="dxa" w:w="1728"/>
            <w:shd w:fill="EAF0F6"/>
          </w:tcPr>
          <w:p>
            <w:r>
              <w:rPr>
                <w:sz w:val="18"/>
              </w:rPr>
              <w:t>Delivery</w:t>
              <w:br/>
              <w:t>Records</w:t>
            </w:r>
          </w:p>
        </w:tc>
        <w:tc>
          <w:tcPr>
            <w:tcW w:type="dxa" w:w="3168"/>
            <w:shd w:fill="EAF0F6"/>
          </w:tcPr>
          <w:p>
            <w:r>
              <w:rPr>
                <w:sz w:val="18"/>
              </w:rPr>
              <w:t>Receipt confirmations, delivery</w:t>
              <w:br/>
              <w:t>dates, quantity variances</w:t>
            </w:r>
          </w:p>
        </w:tc>
        <w:tc>
          <w:tcPr>
            <w:tcW w:type="dxa" w:w="1152"/>
            <w:shd w:fill="EAF0F6"/>
          </w:tcPr>
          <w:p>
            <w:r>
              <w:rPr>
                <w:sz w:val="18"/>
              </w:rPr>
              <w:t>Daily</w:t>
            </w:r>
          </w:p>
        </w:tc>
        <w:tc>
          <w:tcPr>
            <w:tcW w:type="dxa" w:w="2592"/>
            <w:shd w:fill="EAF0F6"/>
          </w:tcPr>
          <w:p>
            <w:r>
              <w:rPr>
                <w:sz w:val="18"/>
              </w:rPr>
              <w:t>Automated feed from</w:t>
              <w:br/>
              <w:t>warehouse management</w:t>
            </w:r>
          </w:p>
        </w:tc>
      </w:tr>
      <w:tr>
        <w:tc>
          <w:tcPr>
            <w:tcW w:type="dxa" w:w="1728"/>
          </w:tcPr>
          <w:p>
            <w:r>
              <w:rPr>
                <w:sz w:val="18"/>
              </w:rPr>
              <w:t>Quality</w:t>
              <w:br/>
              <w:t>Inspections</w:t>
            </w:r>
          </w:p>
        </w:tc>
        <w:tc>
          <w:tcPr>
            <w:tcW w:type="dxa" w:w="3168"/>
          </w:tcPr>
          <w:p>
            <w:r>
              <w:rPr>
                <w:sz w:val="18"/>
              </w:rPr>
              <w:t>Inspection results, rejection rates,</w:t>
              <w:br/>
              <w:t>defect classifications</w:t>
            </w:r>
          </w:p>
        </w:tc>
        <w:tc>
          <w:tcPr>
            <w:tcW w:type="dxa" w:w="1152"/>
          </w:tcPr>
          <w:p>
            <w:r>
              <w:rPr>
                <w:sz w:val="18"/>
              </w:rPr>
              <w:t>Per event</w:t>
            </w:r>
          </w:p>
        </w:tc>
        <w:tc>
          <w:tcPr>
            <w:tcW w:type="dxa" w:w="2592"/>
          </w:tcPr>
          <w:p>
            <w:r>
              <w:rPr>
                <w:sz w:val="18"/>
              </w:rPr>
              <w:t>Quality system</w:t>
              <w:br/>
              <w:t>integration</w:t>
            </w:r>
          </w:p>
        </w:tc>
      </w:tr>
      <w:tr>
        <w:tc>
          <w:tcPr>
            <w:tcW w:type="dxa" w:w="1728"/>
            <w:shd w:fill="EAF0F6"/>
          </w:tcPr>
          <w:p>
            <w:r>
              <w:rPr>
                <w:sz w:val="18"/>
              </w:rPr>
              <w:t>Country-of-Origin</w:t>
              <w:br/>
              <w:t>Declarations</w:t>
            </w:r>
          </w:p>
        </w:tc>
        <w:tc>
          <w:tcPr>
            <w:tcW w:type="dxa" w:w="3168"/>
            <w:shd w:fill="EAF0F6"/>
          </w:tcPr>
          <w:p>
            <w:r>
              <w:rPr>
                <w:sz w:val="18"/>
              </w:rPr>
              <w:t>Manufacturer origin certifications,</w:t>
              <w:br/>
              <w:t>trade compliance records</w:t>
            </w:r>
          </w:p>
        </w:tc>
        <w:tc>
          <w:tcPr>
            <w:tcW w:type="dxa" w:w="1152"/>
            <w:shd w:fill="EAF0F6"/>
          </w:tcPr>
          <w:p>
            <w:r>
              <w:rPr>
                <w:sz w:val="18"/>
              </w:rPr>
              <w:t>Per shipment</w:t>
            </w:r>
          </w:p>
        </w:tc>
        <w:tc>
          <w:tcPr>
            <w:tcW w:type="dxa" w:w="2592"/>
            <w:shd w:fill="EAF0F6"/>
          </w:tcPr>
          <w:p>
            <w:r>
              <w:rPr>
                <w:sz w:val="18"/>
              </w:rPr>
              <w:t>Customs and trade</w:t>
              <w:br/>
              <w:t>compliance systems</w:t>
            </w:r>
          </w:p>
        </w:tc>
      </w:tr>
      <w:tr>
        <w:tc>
          <w:tcPr>
            <w:tcW w:type="dxa" w:w="1728"/>
          </w:tcPr>
          <w:p>
            <w:r>
              <w:rPr>
                <w:sz w:val="18"/>
              </w:rPr>
              <w:t>SBOM</w:t>
              <w:br/>
              <w:t>Registries</w:t>
            </w:r>
          </w:p>
        </w:tc>
        <w:tc>
          <w:tcPr>
            <w:tcW w:type="dxa" w:w="3168"/>
          </w:tcPr>
          <w:p>
            <w:r>
              <w:rPr>
                <w:sz w:val="18"/>
              </w:rPr>
              <w:t>Software and hardware bills of</w:t>
              <w:br/>
              <w:t>materials, component lists</w:t>
            </w:r>
          </w:p>
        </w:tc>
        <w:tc>
          <w:tcPr>
            <w:tcW w:type="dxa" w:w="1152"/>
          </w:tcPr>
          <w:p>
            <w:r>
              <w:rPr>
                <w:sz w:val="18"/>
              </w:rPr>
              <w:t>Per delivery</w:t>
            </w:r>
          </w:p>
        </w:tc>
        <w:tc>
          <w:tcPr>
            <w:tcW w:type="dxa" w:w="2592"/>
          </w:tcPr>
          <w:p>
            <w:r>
              <w:rPr>
                <w:sz w:val="18"/>
              </w:rPr>
              <w:t>Engineering data</w:t>
              <w:br/>
              <w:t>management systems</w:t>
            </w:r>
          </w:p>
        </w:tc>
      </w:tr>
      <w:tr>
        <w:tc>
          <w:tcPr>
            <w:tcW w:type="dxa" w:w="1728"/>
            <w:shd w:fill="EAF0F6"/>
          </w:tcPr>
          <w:p>
            <w:r>
              <w:rPr>
                <w:sz w:val="18"/>
              </w:rPr>
              <w:t>Financial</w:t>
              <w:br/>
              <w:t>Filings</w:t>
            </w:r>
          </w:p>
        </w:tc>
        <w:tc>
          <w:tcPr>
            <w:tcW w:type="dxa" w:w="3168"/>
            <w:shd w:fill="EAF0F6"/>
          </w:tcPr>
          <w:p>
            <w:r>
              <w:rPr>
                <w:sz w:val="18"/>
              </w:rPr>
              <w:t>Supplier financial health indicators,</w:t>
              <w:br/>
              <w:t>bond and insurance status</w:t>
            </w:r>
          </w:p>
        </w:tc>
        <w:tc>
          <w:tcPr>
            <w:tcW w:type="dxa" w:w="1152"/>
            <w:shd w:fill="EAF0F6"/>
          </w:tcPr>
          <w:p>
            <w:r>
              <w:rPr>
                <w:sz w:val="18"/>
              </w:rPr>
              <w:t>Quarterly</w:t>
            </w:r>
          </w:p>
        </w:tc>
        <w:tc>
          <w:tcPr>
            <w:tcW w:type="dxa" w:w="2592"/>
            <w:shd w:fill="EAF0F6"/>
          </w:tcPr>
          <w:p>
            <w:r>
              <w:rPr>
                <w:sz w:val="18"/>
              </w:rPr>
              <w:t>SAM.gov, D&amp;B,</w:t>
              <w:br/>
              <w:t>commercial sources</w:t>
            </w:r>
          </w:p>
        </w:tc>
      </w:tr>
      <w:tr>
        <w:tc>
          <w:tcPr>
            <w:tcW w:type="dxa" w:w="1728"/>
          </w:tcPr>
          <w:p>
            <w:r>
              <w:rPr>
                <w:sz w:val="18"/>
              </w:rPr>
              <w:t>GIDEP</w:t>
              <w:br/>
              <w:t>Alerts</w:t>
            </w:r>
          </w:p>
        </w:tc>
        <w:tc>
          <w:tcPr>
            <w:tcW w:type="dxa" w:w="3168"/>
          </w:tcPr>
          <w:p>
            <w:r>
              <w:rPr>
                <w:sz w:val="18"/>
              </w:rPr>
              <w:t>Government-Industry Data Exchange</w:t>
              <w:br/>
              <w:t>Program notifications</w:t>
            </w:r>
          </w:p>
        </w:tc>
        <w:tc>
          <w:tcPr>
            <w:tcW w:type="dxa" w:w="1152"/>
          </w:tcPr>
          <w:p>
            <w:r>
              <w:rPr>
                <w:sz w:val="18"/>
              </w:rPr>
              <w:t>As issued</w:t>
            </w:r>
          </w:p>
        </w:tc>
        <w:tc>
          <w:tcPr>
            <w:tcW w:type="dxa" w:w="2592"/>
          </w:tcPr>
          <w:p>
            <w:r>
              <w:rPr>
                <w:sz w:val="18"/>
              </w:rPr>
              <w:t>GIDEP automated</w:t>
              <w:br/>
              <w:t>alert feed</w:t>
            </w:r>
          </w:p>
        </w:tc>
      </w:tr>
    </w:tbl>
    <w:p/>
    <w:p>
      <w:pPr>
        <w:pStyle w:val="Heading2"/>
      </w:pPr>
      <w:r>
        <w:rPr>
          <w:color w:val="1B4F72"/>
        </w:rPr>
        <w:t>6.2. Deployment Phases</w:t>
      </w:r>
    </w:p>
    <w:p>
      <w:pPr>
        <w:spacing w:after="120"/>
      </w:pPr>
      <w:r>
        <w:rPr>
          <w:b w:val="0"/>
          <w:color w:val="000000"/>
          <w:sz w:val="21"/>
        </w:rPr>
        <w:t>BEI deployment follows a four-phase approach designed to deliver initial value within 8 weeks while building toward full production capability.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168"/>
            <w:shd w:fill="0D1B2A"/>
          </w:tcPr>
          <w:p>
            <w:pPr>
              <w:jc w:val="center"/>
            </w:pPr>
            <w:r>
              <w:rPr>
                <w:b/>
                <w:color w:val="FFFFFF"/>
                <w:sz w:val="18"/>
              </w:rPr>
              <w:t>Deliverables</w:t>
            </w:r>
          </w:p>
        </w:tc>
      </w:tr>
      <w:tr>
        <w:tc>
          <w:tcPr>
            <w:tcW w:type="dxa" w:w="1440"/>
          </w:tcPr>
          <w:p>
            <w:r>
              <w:rPr>
                <w:sz w:val="18"/>
              </w:rPr>
              <w:t>Phase 1:</w:t>
              <w:br/>
              <w:t>Data Integration</w:t>
            </w:r>
          </w:p>
        </w:tc>
        <w:tc>
          <w:tcPr>
            <w:tcW w:type="dxa" w:w="1152"/>
          </w:tcPr>
          <w:p>
            <w:r>
              <w:rPr>
                <w:sz w:val="18"/>
              </w:rPr>
              <w:t>2-4 weeks</w:t>
            </w:r>
          </w:p>
        </w:tc>
        <w:tc>
          <w:tcPr>
            <w:tcW w:type="dxa" w:w="3600"/>
          </w:tcPr>
          <w:p>
            <w:r>
              <w:rPr>
                <w:sz w:val="18"/>
              </w:rPr>
              <w:t>Connect to procurement, delivery,</w:t>
              <w:br/>
              <w:t>quality, and supplier databases.</w:t>
              <w:br/>
              <w:t>Entity resolution across systems.</w:t>
              <w:br/>
              <w:t>Data quality assessment.</w:t>
            </w:r>
          </w:p>
        </w:tc>
        <w:tc>
          <w:tcPr>
            <w:tcW w:type="dxa" w:w="3168"/>
          </w:tcPr>
          <w:p>
            <w:r>
              <w:rPr>
                <w:sz w:val="18"/>
              </w:rPr>
              <w:t>Integrated data pipeline</w:t>
              <w:br/>
              <w:t>Entity resolution map</w:t>
              <w:br/>
              <w:t>Data quality report</w:t>
            </w:r>
          </w:p>
        </w:tc>
      </w:tr>
      <w:tr>
        <w:tc>
          <w:tcPr>
            <w:tcW w:type="dxa" w:w="1440"/>
            <w:shd w:fill="EAF0F6"/>
          </w:tcPr>
          <w:p>
            <w:r>
              <w:rPr>
                <w:sz w:val="18"/>
              </w:rPr>
              <w:t>Phase 2:</w:t>
              <w:br/>
              <w:t>Baseline</w:t>
              <w:br/>
              <w:t>Establishment</w:t>
            </w:r>
          </w:p>
        </w:tc>
        <w:tc>
          <w:tcPr>
            <w:tcW w:type="dxa" w:w="1152"/>
            <w:shd w:fill="EAF0F6"/>
          </w:tcPr>
          <w:p>
            <w:r>
              <w:rPr>
                <w:sz w:val="18"/>
              </w:rPr>
              <w:t>4-6 weeks</w:t>
            </w:r>
          </w:p>
        </w:tc>
        <w:tc>
          <w:tcPr>
            <w:tcW w:type="dxa" w:w="3600"/>
            <w:shd w:fill="EAF0F6"/>
          </w:tcPr>
          <w:p>
            <w:r>
              <w:rPr>
                <w:sz w:val="18"/>
              </w:rPr>
              <w:t>Ingest 4-6 weeks of historical data.</w:t>
              <w:br/>
              <w:t>Build behavioral profiles for all</w:t>
              <w:br/>
              <w:t>entities. Establish zone baselines.</w:t>
              <w:br/>
              <w:t>Calibrate drift detection thresholds.</w:t>
            </w:r>
          </w:p>
        </w:tc>
        <w:tc>
          <w:tcPr>
            <w:tcW w:type="dxa" w:w="3168"/>
            <w:shd w:fill="EAF0F6"/>
          </w:tcPr>
          <w:p>
            <w:r>
              <w:rPr>
                <w:sz w:val="18"/>
              </w:rPr>
              <w:t>Entity behavioral profiles</w:t>
              <w:br/>
              <w:t>Baseline reference points</w:t>
              <w:br/>
              <w:t>Calibration report</w:t>
            </w:r>
          </w:p>
        </w:tc>
      </w:tr>
      <w:tr>
        <w:tc>
          <w:tcPr>
            <w:tcW w:type="dxa" w:w="1440"/>
          </w:tcPr>
          <w:p>
            <w:r>
              <w:rPr>
                <w:sz w:val="18"/>
              </w:rPr>
              <w:t>Phase 3:</w:t>
              <w:br/>
              <w:t>Detection</w:t>
              <w:br/>
              <w:t>Deployment</w:t>
            </w:r>
          </w:p>
        </w:tc>
        <w:tc>
          <w:tcPr>
            <w:tcW w:type="dxa" w:w="1152"/>
          </w:tcPr>
          <w:p>
            <w:r>
              <w:rPr>
                <w:sz w:val="18"/>
              </w:rPr>
              <w:t>2-4 weeks</w:t>
            </w:r>
          </w:p>
        </w:tc>
        <w:tc>
          <w:tcPr>
            <w:tcW w:type="dxa" w:w="3600"/>
          </w:tcPr>
          <w:p>
            <w:r>
              <w:rPr>
                <w:sz w:val="18"/>
              </w:rPr>
              <w:t>Deploy detection capabilities.</w:t>
              <w:br/>
              <w:t>Threshold tuning against known</w:t>
              <w:br/>
              <w:t>historical incidents. SOC analyst</w:t>
              <w:br/>
              <w:t>training on alert triage.</w:t>
            </w:r>
          </w:p>
        </w:tc>
        <w:tc>
          <w:tcPr>
            <w:tcW w:type="dxa" w:w="3168"/>
          </w:tcPr>
          <w:p>
            <w:r>
              <w:rPr>
                <w:sz w:val="18"/>
              </w:rPr>
              <w:t>Detection rules deployed</w:t>
              <w:br/>
              <w:t>Alert triage procedures</w:t>
              <w:br/>
              <w:t>Analyst training complete</w:t>
            </w:r>
          </w:p>
        </w:tc>
      </w:tr>
      <w:tr>
        <w:tc>
          <w:tcPr>
            <w:tcW w:type="dxa" w:w="1440"/>
            <w:shd w:fill="EAF0F6"/>
          </w:tcPr>
          <w:p>
            <w:r>
              <w:rPr>
                <w:sz w:val="18"/>
              </w:rPr>
              <w:t>Phase 4:</w:t>
              <w:br/>
              <w:t>Production</w:t>
              <w:br/>
              <w:t>Monitoring</w:t>
            </w:r>
          </w:p>
        </w:tc>
        <w:tc>
          <w:tcPr>
            <w:tcW w:type="dxa" w:w="1152"/>
            <w:shd w:fill="EAF0F6"/>
          </w:tcPr>
          <w:p>
            <w:r>
              <w:rPr>
                <w:sz w:val="18"/>
              </w:rPr>
              <w:t>Ongoing</w:t>
            </w:r>
          </w:p>
        </w:tc>
        <w:tc>
          <w:tcPr>
            <w:tcW w:type="dxa" w:w="3600"/>
            <w:shd w:fill="EAF0F6"/>
          </w:tcPr>
          <w:p>
            <w:r>
              <w:rPr>
                <w:sz w:val="18"/>
              </w:rPr>
              <w:t>Continuous behavioral monitoring.</w:t>
              <w:br/>
              <w:t>Integration with acquisition and</w:t>
              <w:br/>
              <w:t>SOC workflows. Quarterly model</w:t>
              <w:br/>
              <w:t>recalibration.</w:t>
            </w:r>
          </w:p>
        </w:tc>
        <w:tc>
          <w:tcPr>
            <w:tcW w:type="dxa" w:w="3168"/>
            <w:shd w:fill="EAF0F6"/>
          </w:tcPr>
          <w:p>
            <w:r>
              <w:rPr>
                <w:sz w:val="18"/>
              </w:rPr>
              <w:t>Operational dashboard</w:t>
              <w:br/>
              <w:t>Weekly risk reports</w:t>
              <w:br/>
              <w:t>Acquisition decision support</w:t>
            </w:r>
          </w:p>
        </w:tc>
      </w:tr>
    </w:tbl>
    <w:p/>
    <w:p>
      <w:pPr>
        <w:pStyle w:val="Heading2"/>
      </w:pPr>
      <w:r>
        <w:rPr>
          <w:color w:val="1B4F72"/>
        </w:rPr>
        <w:t>6.3. Integration Points</w:t>
      </w:r>
    </w:p>
    <w:p>
      <w:pPr>
        <w:spacing w:after="120"/>
      </w:pPr>
      <w:r>
        <w:rPr>
          <w:b w:val="0"/>
          <w:color w:val="000000"/>
          <w:sz w:val="21"/>
        </w:rPr>
        <w:t>BEI is designed to integrate with DLA's existing systems and workflows, augmenting current capabilities rather than replacing them.</w:t>
      </w:r>
    </w:p>
    <w:p>
      <w:pPr>
        <w:pStyle w:val="ListBullet"/>
        <w:ind w:left="360"/>
      </w:pPr>
      <w:r>
        <w:rPr>
          <w:b/>
          <w:sz w:val="21"/>
        </w:rPr>
        <w:t xml:space="preserve">DLA SCRM Program: </w:t>
      </w:r>
      <w:r>
        <w:rPr>
          <w:sz w:val="21"/>
        </w:rPr>
        <w:t>BEI's behavioral risk scores feed into DLA's existing SCRM risk assessments, providing continuous monitoring between annual reviews.</w:t>
      </w:r>
    </w:p>
    <w:p>
      <w:pPr>
        <w:pStyle w:val="ListBullet"/>
        <w:ind w:left="360"/>
      </w:pPr>
      <w:r>
        <w:rPr>
          <w:b/>
          <w:sz w:val="21"/>
        </w:rPr>
        <w:t xml:space="preserve">GIDEP Integration: </w:t>
      </w:r>
      <w:r>
        <w:rPr>
          <w:sz w:val="21"/>
        </w:rPr>
        <w:t>GIDEP alerts are correlated with BEI behavioral detections. A GIDEP alert about a supplier coinciding with behavioral drift in that supplier's profile elevates the risk score and triggers accelerated investigation.</w:t>
      </w:r>
    </w:p>
    <w:p>
      <w:pPr>
        <w:pStyle w:val="ListBullet"/>
        <w:ind w:left="360"/>
      </w:pPr>
      <w:r>
        <w:rPr>
          <w:b/>
          <w:sz w:val="21"/>
        </w:rPr>
        <w:t xml:space="preserve">CAGE/SAM.gov Databases: </w:t>
      </w:r>
      <w:r>
        <w:rPr>
          <w:sz w:val="21"/>
        </w:rPr>
        <w:t>BEI cross-references entity profiles against CAGE and SAM.gov registrations. Changes in supplier registration status (new CAGE codes, SAM.gov exclusions, changed addresses) trigger behavioral profile updates.</w:t>
      </w:r>
    </w:p>
    <w:p>
      <w:pPr>
        <w:pStyle w:val="ListBullet"/>
        <w:ind w:left="360"/>
      </w:pPr>
      <w:r>
        <w:rPr>
          <w:b/>
          <w:sz w:val="21"/>
        </w:rPr>
        <w:t xml:space="preserve">Contracting Officer Workflow: </w:t>
      </w:r>
      <w:r>
        <w:rPr>
          <w:sz w:val="21"/>
        </w:rPr>
        <w:t>Behavioral risk scores are presented to contracting officers at the point of contract award decision. A supplier with a drifting Geographic Risk zone is flagged before the award, not after delivery.</w:t>
      </w:r>
    </w:p>
    <w:p>
      <w:pPr>
        <w:pStyle w:val="ListBullet"/>
        <w:ind w:left="360"/>
      </w:pPr>
      <w:r>
        <w:rPr>
          <w:b/>
          <w:sz w:val="21"/>
        </w:rPr>
        <w:t xml:space="preserve">Quality Assurance Routing: </w:t>
      </w:r>
      <w:r>
        <w:rPr>
          <w:sz w:val="21"/>
        </w:rPr>
        <w:t>Parts from suppliers with elevated behavioral risk scores are routed to priority inspection queues. Limited inspection resources are allocated based on behavioral intelligence rather than random sampling.</w:t>
      </w:r>
    </w:p>
    <w:p>
      <w:r>
        <w:br w:type="page"/>
      </w:r>
    </w:p>
    <w:p>
      <w:pPr>
        <w:pStyle w:val="Heading1"/>
      </w:pPr>
      <w:r>
        <w:rPr>
          <w:color w:val="0D1B2A"/>
        </w:rPr>
        <w:t>7. Proven Foundation: From Cybersecurity to Supply Chain</w:t>
      </w:r>
    </w:p>
    <w:p>
      <w:pPr>
        <w:pStyle w:val="Heading2"/>
      </w:pPr>
      <w:r>
        <w:rPr>
          <w:color w:val="1B4F72"/>
        </w:rPr>
        <w:t>7.1. What Has Been Proven in Cybersecurity</w:t>
      </w:r>
    </w:p>
    <w:p>
      <w:pPr>
        <w:spacing w:after="120"/>
      </w:pPr>
      <w:r>
        <w:rPr>
          <w:b w:val="0"/>
          <w:color w:val="000000"/>
          <w:sz w:val="21"/>
        </w:rPr>
        <w:t>The behavioral detection concept described in this whitepaper is not a research proposal. It has been built, deployed, and proven in an operational cybersecurity setting. In that deployment, the BEI framework analyzed a large population of users over an extended period and was challenged with four advanced, long-duration attack campaigns deliberately designed to evade detection: a patient insider threat, a slow command-and-control intrusion, and two nation-state campaigns modeled on real-world adversary tradecraft.</w:t>
      </w:r>
    </w:p>
    <w:p>
      <w:pPr>
        <w:spacing w:after="120"/>
      </w:pPr>
      <w:r>
        <w:rPr>
          <w:b w:val="0"/>
          <w:color w:val="000000"/>
          <w:sz w:val="21"/>
        </w:rPr>
        <w:t>Traditional detection methods — the statistical and threshold-based techniques that are the supply chain equivalent of on-time-rate and quality-score monitoring — detected none of these campaigns at operationally acceptable alert rates. Every attacker stayed within normal statistical ranges on every individual metric. The BEI framework detected all four, ranking each attacker among the highest-risk entities in the entire population while holding false positives to a manageable level. The attackers were caught not because any single value crossed a threshold, but because their behavioral direction changed — exactly the failure mode that defeats traditional supplier monitoring.</w:t>
      </w:r>
    </w:p>
    <w:p>
      <w:pPr>
        <w:pBdr>
          <w:left w:val="single" w:sz="24" w:space="12" w:color="0E6B8A"/>
        </w:pBdr>
        <w:shd w:fill="EAF4F7" w:val="clear"/>
        <w:spacing w:before="160" w:after="160"/>
      </w:pPr>
      <w:r>
        <w:rPr>
          <w:b/>
          <w:color w:val="0D1B2A"/>
          <w:sz w:val="21"/>
        </w:rPr>
        <w:t>The proof point is concrete: in cybersecurity, BEI detected every advanced campaign that traditional methods missed entirely. The detections came from behavioral direction, not metric magnitude — the same signal that exposes hidden supplier risk.</w:t>
      </w:r>
    </w:p>
    <w:p>
      <w:pPr>
        <w:pStyle w:val="Heading2"/>
      </w:pPr>
      <w:r>
        <w:rPr>
          <w:color w:val="1B4F72"/>
        </w:rPr>
        <w:t>7.2. Why the Proof Transfers</w:t>
      </w:r>
    </w:p>
    <w:p>
      <w:pPr>
        <w:spacing w:after="120"/>
      </w:pPr>
      <w:r>
        <w:rPr>
          <w:b w:val="0"/>
          <w:color w:val="000000"/>
          <w:sz w:val="21"/>
        </w:rPr>
        <w:t>The cybersecurity and supply chain problems are structurally identical. In both, the most damaging actors operate within authorized bounds — valid credentials in one case, compliant contracts in the other — while gradually shifting behavioral direction toward an objective. The BEI framework is domain-agnostic: the same analytical architecture that profiles a user profiles a supplier; the same relationship analysis that links a user to a device links a supplier to a part and a country of origin; the same temporal trajectory analysis that detects an escalating insider detects a supplier drifting toward distress.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Framework Element</w:t>
            </w:r>
          </w:p>
        </w:tc>
        <w:tc>
          <w:tcPr>
            <w:tcW w:type="dxa" w:w="3600"/>
            <w:shd w:fill="0D1B2A"/>
          </w:tcPr>
          <w:p>
            <w:pPr>
              <w:jc w:val="center"/>
            </w:pPr>
            <w:r>
              <w:rPr>
                <w:b/>
                <w:color w:val="FFFFFF"/>
                <w:sz w:val="18"/>
              </w:rPr>
              <w:t>Proven In Cybersecurity</w:t>
            </w:r>
          </w:p>
        </w:tc>
        <w:tc>
          <w:tcPr>
            <w:tcW w:type="dxa" w:w="3744"/>
            <w:shd w:fill="0D1B2A"/>
          </w:tcPr>
          <w:p>
            <w:pPr>
              <w:jc w:val="center"/>
            </w:pPr>
            <w:r>
              <w:rPr>
                <w:b/>
                <w:color w:val="FFFFFF"/>
                <w:sz w:val="18"/>
              </w:rPr>
              <w:t>Applied To Supplier Risk</w:t>
            </w:r>
          </w:p>
        </w:tc>
      </w:tr>
      <w:tr>
        <w:tc>
          <w:tcPr>
            <w:tcW w:type="dxa" w:w="2016"/>
          </w:tcPr>
          <w:p>
            <w:r>
              <w:rPr>
                <w:sz w:val="18"/>
              </w:rPr>
              <w:t>Entity profile</w:t>
            </w:r>
          </w:p>
        </w:tc>
        <w:tc>
          <w:tcPr>
            <w:tcW w:type="dxa" w:w="3600"/>
          </w:tcPr>
          <w:p>
            <w:r>
              <w:rPr>
                <w:sz w:val="18"/>
              </w:rPr>
              <w:t>User, device, application behavioral baselines</w:t>
            </w:r>
          </w:p>
        </w:tc>
        <w:tc>
          <w:tcPr>
            <w:tcW w:type="dxa" w:w="3744"/>
          </w:tcPr>
          <w:p>
            <w:r>
              <w:rPr>
                <w:sz w:val="18"/>
              </w:rPr>
              <w:t>Supplier, NSN, location, manufacturer baselines</w:t>
            </w:r>
          </w:p>
        </w:tc>
      </w:tr>
      <w:tr>
        <w:tc>
          <w:tcPr>
            <w:tcW w:type="dxa" w:w="2016"/>
            <w:shd w:fill="EAF0F6"/>
          </w:tcPr>
          <w:p>
            <w:r>
              <w:rPr>
                <w:sz w:val="18"/>
              </w:rPr>
              <w:t>Behavioral zones</w:t>
            </w:r>
          </w:p>
        </w:tc>
        <w:tc>
          <w:tcPr>
            <w:tcW w:type="dxa" w:w="3600"/>
            <w:shd w:fill="EAF0F6"/>
          </w:tcPr>
          <w:p>
            <w:r>
              <w:rPr>
                <w:sz w:val="18"/>
              </w:rPr>
              <w:t>Identity, access, data, network, risk</w:t>
            </w:r>
          </w:p>
        </w:tc>
        <w:tc>
          <w:tcPr>
            <w:tcW w:type="dxa" w:w="3744"/>
            <w:shd w:fill="EAF0F6"/>
          </w:tcPr>
          <w:p>
            <w:r>
              <w:rPr>
                <w:sz w:val="18"/>
              </w:rPr>
              <w:t>Identity, performance, geographic, network, risk</w:t>
            </w:r>
          </w:p>
        </w:tc>
      </w:tr>
      <w:tr>
        <w:tc>
          <w:tcPr>
            <w:tcW w:type="dxa" w:w="2016"/>
          </w:tcPr>
          <w:p>
            <w:r>
              <w:rPr>
                <w:sz w:val="18"/>
              </w:rPr>
              <w:t>Relationship analysis</w:t>
            </w:r>
          </w:p>
        </w:tc>
        <w:tc>
          <w:tcPr>
            <w:tcW w:type="dxa" w:w="3600"/>
          </w:tcPr>
          <w:p>
            <w:r>
              <w:rPr>
                <w:sz w:val="18"/>
              </w:rPr>
              <w:t>User-device, user-application interactions</w:t>
            </w:r>
          </w:p>
        </w:tc>
        <w:tc>
          <w:tcPr>
            <w:tcW w:type="dxa" w:w="3744"/>
          </w:tcPr>
          <w:p>
            <w:r>
              <w:rPr>
                <w:sz w:val="18"/>
              </w:rPr>
              <w:t>Supplier-part, supplier-country, part-SBOM interactions</w:t>
            </w:r>
          </w:p>
        </w:tc>
      </w:tr>
      <w:tr>
        <w:tc>
          <w:tcPr>
            <w:tcW w:type="dxa" w:w="2016"/>
            <w:shd w:fill="EAF0F6"/>
          </w:tcPr>
          <w:p>
            <w:r>
              <w:rPr>
                <w:sz w:val="18"/>
              </w:rPr>
              <w:t>Temporal trajectory</w:t>
            </w:r>
          </w:p>
        </w:tc>
        <w:tc>
          <w:tcPr>
            <w:tcW w:type="dxa" w:w="3600"/>
            <w:shd w:fill="EAF0F6"/>
          </w:tcPr>
          <w:p>
            <w:r>
              <w:rPr>
                <w:sz w:val="18"/>
              </w:rPr>
              <w:t>Detecting escalating insider over months</w:t>
            </w:r>
          </w:p>
        </w:tc>
        <w:tc>
          <w:tcPr>
            <w:tcW w:type="dxa" w:w="3744"/>
            <w:shd w:fill="EAF0F6"/>
          </w:tcPr>
          <w:p>
            <w:r>
              <w:rPr>
                <w:sz w:val="18"/>
              </w:rPr>
              <w:t>Detecting supplier drift toward distress or substitution</w:t>
            </w:r>
          </w:p>
        </w:tc>
      </w:tr>
      <w:tr>
        <w:tc>
          <w:tcPr>
            <w:tcW w:type="dxa" w:w="2016"/>
          </w:tcPr>
          <w:p>
            <w:r>
              <w:rPr>
                <w:sz w:val="18"/>
              </w:rPr>
              <w:t>Directional detection</w:t>
            </w:r>
          </w:p>
        </w:tc>
        <w:tc>
          <w:tcPr>
            <w:tcW w:type="dxa" w:w="3600"/>
          </w:tcPr>
          <w:p>
            <w:r>
              <w:rPr>
                <w:sz w:val="18"/>
              </w:rPr>
              <w:t>Caught all 4 advanced campaigns missed by traditional methods</w:t>
            </w:r>
          </w:p>
        </w:tc>
        <w:tc>
          <w:tcPr>
            <w:tcW w:type="dxa" w:w="3744"/>
          </w:tcPr>
          <w:p>
            <w:r>
              <w:rPr>
                <w:sz w:val="18"/>
              </w:rPr>
              <w:t>Designed to catch sourcing shifts, counterfeits, hidden concentration</w:t>
            </w:r>
          </w:p>
        </w:tc>
      </w:tr>
    </w:tbl>
    <w:p/>
    <w:p>
      <w:pPr>
        <w:spacing w:after="120"/>
      </w:pPr>
      <w:r>
        <w:rPr>
          <w:b w:val="0"/>
          <w:color w:val="000000"/>
          <w:sz w:val="21"/>
        </w:rPr>
        <w:t>What changes between domains is the vocabulary of the entities and the data sources that feed them. What stays constant is the detection principle and the analytical machinery — both proven.</w:t>
      </w:r>
    </w:p>
    <w:p>
      <w:pPr>
        <w:pStyle w:val="Heading2"/>
      </w:pPr>
      <w:r>
        <w:rPr>
          <w:color w:val="1B4F72"/>
        </w:rPr>
        <w:t>7.3. Supply Chain Proof of Concept</w:t>
      </w:r>
    </w:p>
    <w:p>
      <w:pPr>
        <w:spacing w:after="120"/>
      </w:pPr>
      <w:r>
        <w:rPr>
          <w:b w:val="0"/>
          <w:color w:val="000000"/>
          <w:sz w:val="21"/>
        </w:rPr>
        <w:t>The BEI framework has been instantiated for the supply chain domain and exercised on a realistic synthetic dataset. This proof of concept demonstrates that the framework's capabilities — entity profiling, zone decomposition, relationship analysis, temporal trajectory, and regime detection — operate on supply chain data exactly as they operate on cybersecurity data.</w:t>
      </w:r>
    </w:p>
    <w:tbl>
      <w:tblPr>
        <w:tblStyle w:val="LightGrid-Accent1"/>
        <w:tblW w:type="auto" w:w="0"/>
        <w:jc w:val="center"/>
        <w:tblLook w:firstColumn="1" w:firstRow="1" w:lastColumn="0" w:lastRow="0" w:noHBand="0" w:noVBand="1" w:val="04A0"/>
      </w:tblPr>
      <w:tblGrid>
        <w:gridCol w:w="4703"/>
        <w:gridCol w:w="4703"/>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National Stock Numbers (NSNs)</w:t>
            </w:r>
          </w:p>
        </w:tc>
        <w:tc>
          <w:tcPr>
            <w:tcW w:type="dxa" w:w="5760"/>
          </w:tcPr>
          <w:p>
            <w:r>
              <w:rPr>
                <w:sz w:val="18"/>
              </w:rPr>
              <w:t>500</w:t>
            </w:r>
          </w:p>
        </w:tc>
      </w:tr>
      <w:tr>
        <w:tc>
          <w:tcPr>
            <w:tcW w:type="dxa" w:w="3600"/>
            <w:shd w:fill="EAF0F6"/>
          </w:tcPr>
          <w:p>
            <w:r>
              <w:rPr>
                <w:sz w:val="18"/>
              </w:rPr>
              <w:t>Suppliers</w:t>
            </w:r>
          </w:p>
        </w:tc>
        <w:tc>
          <w:tcPr>
            <w:tcW w:type="dxa" w:w="5760"/>
            <w:shd w:fill="EAF0F6"/>
          </w:tcPr>
          <w:p>
            <w:r>
              <w:rPr>
                <w:sz w:val="18"/>
              </w:rPr>
              <w:t>200</w:t>
            </w:r>
          </w:p>
        </w:tc>
      </w:tr>
      <w:tr>
        <w:tc>
          <w:tcPr>
            <w:tcW w:type="dxa" w:w="3600"/>
          </w:tcPr>
          <w:p>
            <w:r>
              <w:rPr>
                <w:sz w:val="18"/>
              </w:rPr>
              <w:t>Depots</w:t>
            </w:r>
          </w:p>
        </w:tc>
        <w:tc>
          <w:tcPr>
            <w:tcW w:type="dxa" w:w="5760"/>
          </w:tcPr>
          <w:p>
            <w:r>
              <w:rPr>
                <w:sz w:val="18"/>
              </w:rPr>
              <w:t>4 (3 Indo-Pacific, 1 CONUS)</w:t>
            </w:r>
          </w:p>
        </w:tc>
      </w:tr>
      <w:tr>
        <w:tc>
          <w:tcPr>
            <w:tcW w:type="dxa" w:w="3600"/>
            <w:shd w:fill="EAF0F6"/>
          </w:tcPr>
          <w:p>
            <w:r>
              <w:rPr>
                <w:sz w:val="18"/>
              </w:rPr>
              <w:t>Transaction History</w:t>
            </w:r>
          </w:p>
        </w:tc>
        <w:tc>
          <w:tcPr>
            <w:tcW w:type="dxa" w:w="5760"/>
            <w:shd w:fill="EAF0F6"/>
          </w:tcPr>
          <w:p>
            <w:r>
              <w:rPr>
                <w:sz w:val="18"/>
              </w:rPr>
              <w:t>24 months</w:t>
            </w:r>
          </w:p>
        </w:tc>
      </w:tr>
      <w:tr>
        <w:tc>
          <w:tcPr>
            <w:tcW w:type="dxa" w:w="3600"/>
          </w:tcPr>
          <w:p>
            <w:r>
              <w:rPr>
                <w:sz w:val="18"/>
              </w:rPr>
              <w:t>Demand Components Modeled</w:t>
            </w:r>
          </w:p>
        </w:tc>
        <w:tc>
          <w:tcPr>
            <w:tcW w:type="dxa" w:w="5760"/>
          </w:tcPr>
          <w:p>
            <w:r>
              <w:rPr>
                <w:sz w:val="18"/>
              </w:rPr>
              <w:t>6 (baseline, exercise, seasonal,</w:t>
              <w:br/>
              <w:t>maintenance, combat, failure)</w:t>
            </w:r>
          </w:p>
        </w:tc>
      </w:tr>
      <w:tr>
        <w:tc>
          <w:tcPr>
            <w:tcW w:type="dxa" w:w="3600"/>
            <w:shd w:fill="EAF0F6"/>
          </w:tcPr>
          <w:p>
            <w:r>
              <w:rPr>
                <w:sz w:val="18"/>
              </w:rPr>
              <w:t>Supplier Risk Grades</w:t>
            </w:r>
          </w:p>
        </w:tc>
        <w:tc>
          <w:tcPr>
            <w:tcW w:type="dxa" w:w="5760"/>
            <w:shd w:fill="EAF0F6"/>
          </w:tcPr>
          <w:p>
            <w:r>
              <w:rPr>
                <w:sz w:val="18"/>
              </w:rPr>
              <w:t>A through F (composite behavioral +</w:t>
              <w:br/>
              <w:t>financial + performance)</w:t>
            </w:r>
          </w:p>
        </w:tc>
      </w:tr>
    </w:tbl>
    <w:p/>
    <w:p>
      <w:pPr>
        <w:spacing w:after="40"/>
      </w:pPr>
      <w:r>
        <w:rPr>
          <w:b/>
          <w:color w:val="000000"/>
          <w:sz w:val="21"/>
        </w:rPr>
        <w:t>Demonstrated Capabilities</w:t>
      </w:r>
    </w:p>
    <w:p>
      <w:pPr>
        <w:pStyle w:val="ListBullet"/>
        <w:ind w:left="360"/>
      </w:pPr>
      <w:r>
        <w:rPr>
          <w:b/>
          <w:sz w:val="21"/>
        </w:rPr>
        <w:t xml:space="preserve">Phase Space Regime Detection: </w:t>
      </w:r>
      <w:r>
        <w:rPr>
          <w:sz w:val="21"/>
        </w:rPr>
        <w:t>The framework identifies items transitioning from STABLE to DEPLETING behavioral regimes before stockout occurs, providing actionable lead time for procurement intervention.</w:t>
      </w:r>
    </w:p>
    <w:p>
      <w:pPr>
        <w:pStyle w:val="ListBullet"/>
        <w:ind w:left="360"/>
      </w:pPr>
      <w:r>
        <w:rPr>
          <w:b/>
          <w:sz w:val="21"/>
        </w:rPr>
        <w:t xml:space="preserve">Supplier Risk Scoring: </w:t>
      </w:r>
      <w:r>
        <w:rPr>
          <w:sz w:val="21"/>
        </w:rPr>
        <w:t>Each supplier receives a composite health grade (A through F) incorporating behavioral trajectory, financial health indicators, and delivery performance trends. The grade reflects behavioral direction, not just current-period metrics.</w:t>
      </w:r>
    </w:p>
    <w:p>
      <w:pPr>
        <w:pStyle w:val="ListBullet"/>
        <w:ind w:left="360"/>
      </w:pPr>
      <w:r>
        <w:rPr>
          <w:b/>
          <w:sz w:val="21"/>
        </w:rPr>
        <w:t xml:space="preserve">Demand Decomposition: </w:t>
      </w:r>
      <w:r>
        <w:rPr>
          <w:sz w:val="21"/>
        </w:rPr>
        <w:t>Demand for each NSN is decomposed into six independent components, enabling the system to distinguish exercise-driven demand spikes from baseline consumption changes and combat-related surges.</w:t>
      </w:r>
    </w:p>
    <w:p>
      <w:pPr>
        <w:pStyle w:val="ListBullet"/>
        <w:ind w:left="360"/>
      </w:pPr>
      <w:r>
        <w:rPr>
          <w:b/>
          <w:sz w:val="21"/>
        </w:rPr>
        <w:t xml:space="preserve">Relationship Analysis: </w:t>
      </w:r>
      <w:r>
        <w:rPr>
          <w:sz w:val="21"/>
        </w:rPr>
        <w:t>Four relationship types are built and operating: Supply (Supplier-NSN), Demand (NSN-Location), Transit (NSN-Route), and Fulfillment (Supplier-NSN-Location). The country-of-origin, bill-of-materials, and supplier-to-supplier relationships described in Section 4 are natural extensions of the same relationship machinery, added by introducing the corresponding entity profiles.</w:t>
      </w:r>
    </w:p>
    <w:p>
      <w:pPr>
        <w:pStyle w:val="ListBullet"/>
        <w:ind w:left="360"/>
      </w:pPr>
      <w:r>
        <w:rPr>
          <w:b/>
          <w:sz w:val="21"/>
        </w:rPr>
        <w:t xml:space="preserve">LLM-Powered Decision Support: </w:t>
      </w:r>
      <w:r>
        <w:rPr>
          <w:sz w:val="21"/>
        </w:rPr>
        <w:t>Analysts query the system in natural language — 'Which Indo-Pacific parts are at risk of stockout in the next 90 days?' — and receive answers contextualized with behavioral intelligence, not just inventory snapshots.</w:t>
      </w:r>
    </w:p>
    <w:p>
      <w:pPr>
        <w:pBdr>
          <w:left w:val="single" w:sz="24" w:space="12" w:color="0E6B8A"/>
        </w:pBdr>
        <w:shd w:fill="EAF4F7" w:val="clear"/>
        <w:spacing w:before="160" w:after="160"/>
      </w:pPr>
      <w:r>
        <w:rPr>
          <w:b/>
          <w:color w:val="0D1B2A"/>
          <w:sz w:val="21"/>
        </w:rPr>
        <w:t>The cybersecurity deployment proved detection efficacy quantitatively — every advanced campaign caught, traditional methods bypassed. The supply chain proof of concept proves the same capabilities are built and operating on supply chain data. Quantified detection benchmarking against injected supplier-risk campaigns is the natural next step on DLA production data.</w:t>
      </w:r>
    </w:p>
    <w:p>
      <w:pPr>
        <w:pStyle w:val="Heading2"/>
      </w:pPr>
      <w:r>
        <w:rPr>
          <w:color w:val="1B4F72"/>
        </w:rPr>
        <w:t>7.4. Illustrative Detection Scenarios</w:t>
      </w:r>
    </w:p>
    <w:p>
      <w:pPr>
        <w:spacing w:after="120"/>
      </w:pPr>
      <w:r>
        <w:rPr>
          <w:b w:val="0"/>
          <w:color w:val="000000"/>
          <w:sz w:val="21"/>
        </w:rPr>
        <w:t>The following scenarios illustrate what BEI is designed to surface when applied to defense supplier data. They describe the behavioral signal and the mechanism by which BEI exposes it — the same class of directional signal proven detectable in the cybersecurity deployment and demonstrated operationally in the supply chain proof of concept.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Scenario</w:t>
            </w:r>
          </w:p>
        </w:tc>
        <w:tc>
          <w:tcPr>
            <w:tcW w:type="dxa" w:w="2880"/>
            <w:shd w:fill="0D1B2A"/>
          </w:tcPr>
          <w:p>
            <w:pPr>
              <w:jc w:val="center"/>
            </w:pPr>
            <w:r>
              <w:rPr>
                <w:b/>
                <w:color w:val="FFFFFF"/>
                <w:sz w:val="18"/>
              </w:rPr>
              <w:t>Behavioral Signal</w:t>
            </w:r>
          </w:p>
        </w:tc>
        <w:tc>
          <w:tcPr>
            <w:tcW w:type="dxa" w:w="2016"/>
            <w:shd w:fill="0D1B2A"/>
          </w:tcPr>
          <w:p>
            <w:pPr>
              <w:jc w:val="center"/>
            </w:pPr>
            <w:r>
              <w:rPr>
                <w:b/>
                <w:color w:val="FFFFFF"/>
                <w:sz w:val="18"/>
              </w:rPr>
              <w:t>Traditional</w:t>
              <w:br/>
              <w:t>Visibility</w:t>
            </w:r>
          </w:p>
        </w:tc>
        <w:tc>
          <w:tcPr>
            <w:tcW w:type="dxa" w:w="2736"/>
            <w:shd w:fill="0D1B2A"/>
          </w:tcPr>
          <w:p>
            <w:pPr>
              <w:jc w:val="center"/>
            </w:pPr>
            <w:r>
              <w:rPr>
                <w:b/>
                <w:color w:val="FFFFFF"/>
                <w:sz w:val="18"/>
              </w:rPr>
              <w:t>How BEI Surfaces It</w:t>
            </w:r>
          </w:p>
        </w:tc>
      </w:tr>
      <w:tr>
        <w:tc>
          <w:tcPr>
            <w:tcW w:type="dxa" w:w="2016"/>
          </w:tcPr>
          <w:p>
            <w:r>
              <w:rPr>
                <w:sz w:val="18"/>
              </w:rPr>
              <w:t>Supplier sourcing shift</w:t>
              <w:br/>
              <w:t>to adversary nation</w:t>
            </w:r>
          </w:p>
        </w:tc>
        <w:tc>
          <w:tcPr>
            <w:tcW w:type="dxa" w:w="2880"/>
          </w:tcPr>
          <w:p>
            <w:r>
              <w:rPr>
                <w:sz w:val="18"/>
              </w:rPr>
              <w:t>Geographic Risk zone drifting</w:t>
              <w:br/>
              <w:t>while Performance zone stable</w:t>
            </w:r>
          </w:p>
        </w:tc>
        <w:tc>
          <w:tcPr>
            <w:tcW w:type="dxa" w:w="2016"/>
          </w:tcPr>
          <w:p>
            <w:r>
              <w:rPr>
                <w:sz w:val="18"/>
              </w:rPr>
              <w:t>Invisible until</w:t>
              <w:br/>
              <w:t>next annual audit</w:t>
            </w:r>
          </w:p>
        </w:tc>
        <w:tc>
          <w:tcPr>
            <w:tcW w:type="dxa" w:w="2736"/>
          </w:tcPr>
          <w:p>
            <w:r>
              <w:rPr>
                <w:sz w:val="18"/>
              </w:rPr>
              <w:t>Continuous zone-level</w:t>
              <w:br/>
              <w:t>drift detection flags the</w:t>
              <w:br/>
              <w:t>geographic shift as it forms</w:t>
            </w:r>
          </w:p>
        </w:tc>
      </w:tr>
      <w:tr>
        <w:tc>
          <w:tcPr>
            <w:tcW w:type="dxa" w:w="2016"/>
            <w:shd w:fill="EAF0F6"/>
          </w:tcPr>
          <w:p>
            <w:r>
              <w:rPr>
                <w:sz w:val="18"/>
              </w:rPr>
              <w:t>Hidden supplier</w:t>
              <w:br/>
              <w:t>concentration</w:t>
            </w:r>
          </w:p>
        </w:tc>
        <w:tc>
          <w:tcPr>
            <w:tcW w:type="dxa" w:w="2880"/>
            <w:shd w:fill="EAF0F6"/>
          </w:tcPr>
          <w:p>
            <w:r>
              <w:rPr>
                <w:sz w:val="18"/>
              </w:rPr>
              <w:t>Two suppliers show correlated</w:t>
              <w:br/>
              <w:t>behavioral changes (delivery,</w:t>
              <w:br/>
              <w:t>pricing, quality)</w:t>
            </w:r>
          </w:p>
        </w:tc>
        <w:tc>
          <w:tcPr>
            <w:tcW w:type="dxa" w:w="2016"/>
            <w:shd w:fill="EAF0F6"/>
          </w:tcPr>
          <w:p>
            <w:r>
              <w:rPr>
                <w:sz w:val="18"/>
              </w:rPr>
              <w:t>Invisible —</w:t>
              <w:br/>
              <w:t>suppliers appear</w:t>
              <w:br/>
              <w:t>independent</w:t>
            </w:r>
          </w:p>
        </w:tc>
        <w:tc>
          <w:tcPr>
            <w:tcW w:type="dxa" w:w="2736"/>
            <w:shd w:fill="EAF0F6"/>
          </w:tcPr>
          <w:p>
            <w:r>
              <w:rPr>
                <w:sz w:val="18"/>
              </w:rPr>
              <w:t>Network cohort analysis</w:t>
              <w:br/>
              <w:t>flags the correlated</w:t>
              <w:br/>
              <w:t>behavior as a shared</w:t>
              <w:br/>
              <w:t>dependency</w:t>
            </w:r>
          </w:p>
        </w:tc>
      </w:tr>
      <w:tr>
        <w:tc>
          <w:tcPr>
            <w:tcW w:type="dxa" w:w="2016"/>
          </w:tcPr>
          <w:p>
            <w:r>
              <w:rPr>
                <w:sz w:val="18"/>
              </w:rPr>
              <w:t>NSN transitioning</w:t>
              <w:br/>
              <w:t>to stockout</w:t>
            </w:r>
          </w:p>
        </w:tc>
        <w:tc>
          <w:tcPr>
            <w:tcW w:type="dxa" w:w="2880"/>
          </w:tcPr>
          <w:p>
            <w:r>
              <w:rPr>
                <w:sz w:val="18"/>
              </w:rPr>
              <w:t>Inventory Position zone</w:t>
              <w:br/>
              <w:t>accelerating toward depletion</w:t>
              <w:br/>
              <w:t>regime</w:t>
            </w:r>
          </w:p>
        </w:tc>
        <w:tc>
          <w:tcPr>
            <w:tcW w:type="dxa" w:w="2016"/>
          </w:tcPr>
          <w:p>
            <w:r>
              <w:rPr>
                <w:sz w:val="18"/>
              </w:rPr>
              <w:t>Visible only when</w:t>
              <w:br/>
              <w:t>stockout occurs</w:t>
            </w:r>
          </w:p>
        </w:tc>
        <w:tc>
          <w:tcPr>
            <w:tcW w:type="dxa" w:w="2736"/>
          </w:tcPr>
          <w:p>
            <w:r>
              <w:rPr>
                <w:sz w:val="18"/>
              </w:rPr>
              <w:t>Regime detection flags</w:t>
              <w:br/>
              <w:t>the STABLE-to-DEPLETING</w:t>
              <w:br/>
              <w:t>transition before depletion</w:t>
            </w:r>
          </w:p>
        </w:tc>
      </w:tr>
      <w:tr>
        <w:tc>
          <w:tcPr>
            <w:tcW w:type="dxa" w:w="2016"/>
            <w:shd w:fill="EAF0F6"/>
          </w:tcPr>
          <w:p>
            <w:r>
              <w:rPr>
                <w:sz w:val="18"/>
              </w:rPr>
              <w:t>Counterfeit part</w:t>
              <w:br/>
              <w:t>entry</w:t>
            </w:r>
          </w:p>
        </w:tc>
        <w:tc>
          <w:tcPr>
            <w:tcW w:type="dxa" w:w="2880"/>
            <w:shd w:fill="EAF0F6"/>
          </w:tcPr>
          <w:p>
            <w:r>
              <w:rPr>
                <w:sz w:val="18"/>
              </w:rPr>
              <w:t>NSN failure rate diverges</w:t>
              <w:br/>
              <w:t>between supplier sources</w:t>
            </w:r>
          </w:p>
        </w:tc>
        <w:tc>
          <w:tcPr>
            <w:tcW w:type="dxa" w:w="2016"/>
            <w:shd w:fill="EAF0F6"/>
          </w:tcPr>
          <w:p>
            <w:r>
              <w:rPr>
                <w:sz w:val="18"/>
              </w:rPr>
              <w:t>Detected only after</w:t>
              <w:br/>
              <w:t>field failure</w:t>
            </w:r>
          </w:p>
        </w:tc>
        <w:tc>
          <w:tcPr>
            <w:tcW w:type="dxa" w:w="2736"/>
            <w:shd w:fill="EAF0F6"/>
          </w:tcPr>
          <w:p>
            <w:r>
              <w:rPr>
                <w:sz w:val="18"/>
              </w:rPr>
              <w:t>Relationship analysis</w:t>
              <w:br/>
              <w:t>flags the supplier-part</w:t>
              <w:br/>
              <w:t>failure divergence</w:t>
            </w:r>
          </w:p>
        </w:tc>
      </w:tr>
      <w:tr>
        <w:tc>
          <w:tcPr>
            <w:tcW w:type="dxa" w:w="2016"/>
          </w:tcPr>
          <w:p>
            <w:r>
              <w:rPr>
                <w:sz w:val="18"/>
              </w:rPr>
              <w:t>Supplier financial</w:t>
              <w:br/>
              <w:t>distress</w:t>
            </w:r>
          </w:p>
        </w:tc>
        <w:tc>
          <w:tcPr>
            <w:tcW w:type="dxa" w:w="2880"/>
          </w:tcPr>
          <w:p>
            <w:r>
              <w:rPr>
                <w:sz w:val="18"/>
              </w:rPr>
              <w:t>Performance and Risk</w:t>
              <w:br/>
              <w:t>zones drift concurrently</w:t>
            </w:r>
          </w:p>
        </w:tc>
        <w:tc>
          <w:tcPr>
            <w:tcW w:type="dxa" w:w="2016"/>
          </w:tcPr>
          <w:p>
            <w:r>
              <w:rPr>
                <w:sz w:val="18"/>
              </w:rPr>
              <w:t>Detected at next</w:t>
              <w:br/>
              <w:t>quarterly review</w:t>
            </w:r>
          </w:p>
        </w:tc>
        <w:tc>
          <w:tcPr>
            <w:tcW w:type="dxa" w:w="2736"/>
          </w:tcPr>
          <w:p>
            <w:r>
              <w:rPr>
                <w:sz w:val="18"/>
              </w:rPr>
              <w:t>Multi-zone trajectory</w:t>
              <w:br/>
              <w:t>flags the concurrent drift</w:t>
              <w:br/>
              <w:t>as it develops</w:t>
            </w:r>
          </w:p>
        </w:tc>
      </w:tr>
    </w:tbl>
    <w:p/>
    <w:p>
      <w:r>
        <w:br w:type="page"/>
      </w:r>
    </w:p>
    <w:p>
      <w:pPr>
        <w:pStyle w:val="Heading1"/>
      </w:pPr>
      <w:r>
        <w:rPr>
          <w:color w:val="0D1B2A"/>
        </w:rPr>
        <w:t>8. Business Value</w:t>
      </w:r>
    </w:p>
    <w:p>
      <w:pPr>
        <w:spacing w:after="120"/>
      </w:pPr>
      <w:r>
        <w:rPr>
          <w:b w:val="0"/>
          <w:color w:val="000000"/>
          <w:sz w:val="21"/>
        </w:rPr>
        <w:t>BEI delivers measurable value across six dimensions of supply chain risk management, transforming reactive monitoring into proactive risk intelligence.</w:t>
      </w:r>
    </w:p>
    <w:p>
      <w:pPr>
        <w:spacing w:after="40"/>
      </w:pPr>
      <w:r>
        <w:rPr>
          <w:b/>
          <w:color w:val="000000"/>
          <w:sz w:val="21"/>
        </w:rPr>
        <w:t>Reduced Counterfeit Exposure</w:t>
      </w:r>
    </w:p>
    <w:p>
      <w:pPr>
        <w:spacing w:after="120"/>
      </w:pPr>
      <w:r>
        <w:rPr>
          <w:b w:val="0"/>
          <w:color w:val="000000"/>
          <w:sz w:val="21"/>
        </w:rPr>
        <w:t>Continuous behavioral monitoring of supplier-part-manufacturer relationships detects counterfeit risk signals months before parts fail in the field. The Government Accountability Office estimates average counterfeit remediation costs at $1.8 million per incident, including recall, inspection, replacement, and mission impact assessment. BEI's early detection capability reduces both the frequency and severity of counterfeit incidents.</w:t>
      </w:r>
    </w:p>
    <w:p>
      <w:pPr>
        <w:spacing w:after="40"/>
      </w:pPr>
      <w:r>
        <w:rPr>
          <w:b/>
          <w:color w:val="000000"/>
          <w:sz w:val="21"/>
        </w:rPr>
        <w:t>Earlier Detection of SCRM Risks</w:t>
      </w:r>
    </w:p>
    <w:p>
      <w:pPr>
        <w:spacing w:after="120"/>
      </w:pPr>
      <w:r>
        <w:rPr>
          <w:b w:val="0"/>
          <w:color w:val="000000"/>
          <w:sz w:val="21"/>
        </w:rPr>
        <w:t>Traditional SCRM assessments operate on annual review cycles. BEI monitors supplier behavior continuously, surfacing adversary-nation sourcing shifts as the behavioral change forms rather than at the next scheduled review. For slow-moving supply chain compromises that unfold over quarters, the difference between continuous detection and periodic review is the difference between prevention and remediation.</w:t>
      </w:r>
    </w:p>
    <w:p>
      <w:pPr>
        <w:spacing w:after="40"/>
      </w:pPr>
      <w:r>
        <w:rPr>
          <w:b/>
          <w:color w:val="000000"/>
          <w:sz w:val="21"/>
        </w:rPr>
        <w:t>Reduced Mission Impact from Supply Disruptions</w:t>
      </w:r>
    </w:p>
    <w:p>
      <w:pPr>
        <w:spacing w:after="120"/>
      </w:pPr>
      <w:r>
        <w:rPr>
          <w:b w:val="0"/>
          <w:color w:val="000000"/>
          <w:sz w:val="21"/>
        </w:rPr>
        <w:t>Cascade prediction identifies the mission impact of supplier failures before they occur. When a supplier enters the Drifting regime, the system immediately identifies every depot, NSN, and mission that would be affected, enabling proactive sourcing decisions rather than reactive scrambling.</w:t>
      </w:r>
    </w:p>
    <w:p>
      <w:pPr>
        <w:spacing w:after="40"/>
      </w:pPr>
      <w:r>
        <w:rPr>
          <w:b/>
          <w:color w:val="000000"/>
          <w:sz w:val="21"/>
        </w:rPr>
        <w:t>Compliance Automation</w:t>
      </w:r>
    </w:p>
    <w:p>
      <w:pPr>
        <w:spacing w:after="120"/>
      </w:pPr>
      <w:r>
        <w:rPr>
          <w:b w:val="0"/>
          <w:color w:val="000000"/>
          <w:sz w:val="21"/>
        </w:rPr>
        <w:t>Continuous monitoring of Section 889 and DFARS compliance replaces periodic manual audits. The system continuously tracks country-of-origin relationships and flags compliance deviations as they emerge, reducing both compliance risk and the labor cost of manual reviews.</w:t>
      </w:r>
    </w:p>
    <w:p>
      <w:pPr>
        <w:spacing w:after="40"/>
      </w:pPr>
      <w:r>
        <w:rPr>
          <w:b/>
          <w:color w:val="000000"/>
          <w:sz w:val="21"/>
        </w:rPr>
        <w:t>Acquisition Intelligence</w:t>
      </w:r>
    </w:p>
    <w:p>
      <w:pPr>
        <w:spacing w:after="120"/>
      </w:pPr>
      <w:r>
        <w:rPr>
          <w:b w:val="0"/>
          <w:color w:val="000000"/>
          <w:sz w:val="21"/>
        </w:rPr>
        <w:t>Behavioral risk scores inform contract award decisions at the point of decision. A contracting officer evaluating two suppliers can see not just current performance metrics but behavioral trajectory: is this supplier's quality improving or degrading? Is its geographic sourcing stable or shifting? This intelligence transforms acquisition from a backward-looking assessment to a forward-looking prediction.</w:t>
      </w:r>
    </w:p>
    <w:p>
      <w:pPr>
        <w:spacing w:after="40"/>
      </w:pPr>
      <w:r>
        <w:rPr>
          <w:b/>
          <w:color w:val="000000"/>
          <w:sz w:val="21"/>
        </w:rPr>
        <w:t>The Scale of the Problem BEI Addresses</w:t>
      </w:r>
    </w:p>
    <w:p>
      <w:pPr>
        <w:spacing w:after="120"/>
      </w:pPr>
      <w:r>
        <w:rPr>
          <w:b w:val="0"/>
          <w:color w:val="000000"/>
          <w:sz w:val="21"/>
        </w:rPr>
        <w:t>The following figures describe the documented cost of the supply chain risks that BEI is designed to detect earlier. They establish the scale of the problem, drawn from external sources; the value of earlier behavioral detection is proportional to these stakes.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Risk Category</w:t>
            </w:r>
          </w:p>
        </w:tc>
        <w:tc>
          <w:tcPr>
            <w:tcW w:type="dxa" w:w="2448"/>
            <w:shd w:fill="0D1B2A"/>
          </w:tcPr>
          <w:p>
            <w:pPr>
              <w:jc w:val="center"/>
            </w:pPr>
            <w:r>
              <w:rPr>
                <w:b/>
                <w:color w:val="FFFFFF"/>
                <w:sz w:val="18"/>
              </w:rPr>
              <w:t>Documented Cost of the Problem</w:t>
            </w:r>
          </w:p>
        </w:tc>
        <w:tc>
          <w:tcPr>
            <w:tcW w:type="dxa" w:w="1872"/>
            <w:shd w:fill="0D1B2A"/>
          </w:tcPr>
          <w:p>
            <w:pPr>
              <w:jc w:val="center"/>
            </w:pPr>
            <w:r>
              <w:rPr>
                <w:b/>
                <w:color w:val="FFFFFF"/>
                <w:sz w:val="18"/>
              </w:rPr>
              <w:t>Source</w:t>
            </w:r>
          </w:p>
        </w:tc>
        <w:tc>
          <w:tcPr>
            <w:tcW w:type="dxa" w:w="2880"/>
            <w:shd w:fill="0D1B2A"/>
          </w:tcPr>
          <w:p>
            <w:pPr>
              <w:jc w:val="center"/>
            </w:pPr>
            <w:r>
              <w:rPr>
                <w:b/>
                <w:color w:val="FFFFFF"/>
                <w:sz w:val="18"/>
              </w:rPr>
              <w:t>Where BEI Helps</w:t>
            </w:r>
          </w:p>
        </w:tc>
      </w:tr>
      <w:tr>
        <w:tc>
          <w:tcPr>
            <w:tcW w:type="dxa" w:w="1872"/>
          </w:tcPr>
          <w:p>
            <w:r>
              <w:rPr>
                <w:sz w:val="18"/>
              </w:rPr>
              <w:t>Counterfeit</w:t>
              <w:br/>
              <w:t>Remediation</w:t>
            </w:r>
          </w:p>
        </w:tc>
        <w:tc>
          <w:tcPr>
            <w:tcW w:type="dxa" w:w="2448"/>
          </w:tcPr>
          <w:p>
            <w:r>
              <w:rPr>
                <w:sz w:val="18"/>
              </w:rPr>
              <w:t>~$1.8M average per incident</w:t>
            </w:r>
          </w:p>
        </w:tc>
        <w:tc>
          <w:tcPr>
            <w:tcW w:type="dxa" w:w="1872"/>
          </w:tcPr>
          <w:p>
            <w:r>
              <w:rPr>
                <w:sz w:val="18"/>
              </w:rPr>
              <w:t>GAO reports</w:t>
            </w:r>
          </w:p>
        </w:tc>
        <w:tc>
          <w:tcPr>
            <w:tcW w:type="dxa" w:w="2880"/>
          </w:tcPr>
          <w:p>
            <w:r>
              <w:rPr>
                <w:sz w:val="18"/>
              </w:rPr>
              <w:t>Behavioral monitoring of</w:t>
              <w:br/>
              <w:t>supplier-part-manufacturer</w:t>
              <w:br/>
              <w:t>relationships surfaces</w:t>
              <w:br/>
              <w:t>counterfeit risk signals</w:t>
            </w:r>
          </w:p>
        </w:tc>
      </w:tr>
      <w:tr>
        <w:tc>
          <w:tcPr>
            <w:tcW w:type="dxa" w:w="1872"/>
            <w:shd w:fill="EAF0F6"/>
          </w:tcPr>
          <w:p>
            <w:r>
              <w:rPr>
                <w:sz w:val="18"/>
              </w:rPr>
              <w:t>Stockout /</w:t>
              <w:br/>
              <w:t>Mission Impact</w:t>
            </w:r>
          </w:p>
        </w:tc>
        <w:tc>
          <w:tcPr>
            <w:tcW w:type="dxa" w:w="2448"/>
            <w:shd w:fill="EAF0F6"/>
          </w:tcPr>
          <w:p>
            <w:r>
              <w:rPr>
                <w:sz w:val="18"/>
              </w:rPr>
              <w:t>Mission-dependent, can reach</w:t>
              <w:br/>
              <w:t>tens of millions per event</w:t>
            </w:r>
          </w:p>
        </w:tc>
        <w:tc>
          <w:tcPr>
            <w:tcW w:type="dxa" w:w="1872"/>
            <w:shd w:fill="EAF0F6"/>
          </w:tcPr>
          <w:p>
            <w:r>
              <w:rPr>
                <w:sz w:val="18"/>
              </w:rPr>
              <w:t>DLA readiness</w:t>
              <w:br/>
              <w:t>assessments</w:t>
            </w:r>
          </w:p>
        </w:tc>
        <w:tc>
          <w:tcPr>
            <w:tcW w:type="dxa" w:w="2880"/>
            <w:shd w:fill="EAF0F6"/>
          </w:tcPr>
          <w:p>
            <w:r>
              <w:rPr>
                <w:sz w:val="18"/>
              </w:rPr>
              <w:t>Regime detection flags</w:t>
              <w:br/>
              <w:t>depletion trajectories</w:t>
              <w:br/>
              <w:t>before stockout</w:t>
            </w:r>
          </w:p>
        </w:tc>
      </w:tr>
      <w:tr>
        <w:tc>
          <w:tcPr>
            <w:tcW w:type="dxa" w:w="1872"/>
          </w:tcPr>
          <w:p>
            <w:r>
              <w:rPr>
                <w:sz w:val="18"/>
              </w:rPr>
              <w:t>SCRM Compliance</w:t>
              <w:br/>
              <w:t>Violation</w:t>
            </w:r>
          </w:p>
        </w:tc>
        <w:tc>
          <w:tcPr>
            <w:tcW w:type="dxa" w:w="2448"/>
          </w:tcPr>
          <w:p>
            <w:r>
              <w:rPr>
                <w:sz w:val="18"/>
              </w:rPr>
              <w:t>Significant remediation and</w:t>
              <w:br/>
              <w:t>reporting cost per finding</w:t>
            </w:r>
          </w:p>
        </w:tc>
        <w:tc>
          <w:tcPr>
            <w:tcW w:type="dxa" w:w="1872"/>
          </w:tcPr>
          <w:p>
            <w:r>
              <w:rPr>
                <w:sz w:val="18"/>
              </w:rPr>
              <w:t>DFARS enforcement</w:t>
              <w:br/>
              <w:t>history</w:t>
            </w:r>
          </w:p>
        </w:tc>
        <w:tc>
          <w:tcPr>
            <w:tcW w:type="dxa" w:w="2880"/>
          </w:tcPr>
          <w:p>
            <w:r>
              <w:rPr>
                <w:sz w:val="18"/>
              </w:rPr>
              <w:t>Continuous country-of-origin</w:t>
              <w:br/>
              <w:t>monitoring replaces</w:t>
              <w:br/>
              <w:t>periodic audits</w:t>
            </w:r>
          </w:p>
        </w:tc>
      </w:tr>
      <w:tr>
        <w:tc>
          <w:tcPr>
            <w:tcW w:type="dxa" w:w="1872"/>
            <w:shd w:fill="EAF0F6"/>
          </w:tcPr>
          <w:p>
            <w:r>
              <w:rPr>
                <w:sz w:val="18"/>
              </w:rPr>
              <w:t>Supplier Failure</w:t>
              <w:br/>
              <w:t>Cascade</w:t>
            </w:r>
          </w:p>
        </w:tc>
        <w:tc>
          <w:tcPr>
            <w:tcW w:type="dxa" w:w="2448"/>
            <w:shd w:fill="EAF0F6"/>
          </w:tcPr>
          <w:p>
            <w:r>
              <w:rPr>
                <w:sz w:val="18"/>
              </w:rPr>
              <w:t>Scope-dependent, can be</w:t>
              <w:br/>
              <w:t>substantial across a portfolio</w:t>
            </w:r>
          </w:p>
        </w:tc>
        <w:tc>
          <w:tcPr>
            <w:tcW w:type="dxa" w:w="1872"/>
            <w:shd w:fill="EAF0F6"/>
          </w:tcPr>
          <w:p>
            <w:r>
              <w:rPr>
                <w:sz w:val="18"/>
              </w:rPr>
              <w:t>COVID-19 supply</w:t>
              <w:br/>
              <w:t>chain analyses</w:t>
            </w:r>
          </w:p>
        </w:tc>
        <w:tc>
          <w:tcPr>
            <w:tcW w:type="dxa" w:w="2880"/>
            <w:shd w:fill="EAF0F6"/>
          </w:tcPr>
          <w:p>
            <w:r>
              <w:rPr>
                <w:sz w:val="18"/>
              </w:rPr>
              <w:t>Network analysis exposes</w:t>
              <w:br/>
              <w:t>hidden concentration before</w:t>
              <w:br/>
              <w:t>it cascades</w:t>
            </w:r>
          </w:p>
        </w:tc>
      </w:tr>
    </w:tbl>
    <w:p/>
    <w:p>
      <w:r>
        <w:br w:type="page"/>
      </w:r>
    </w:p>
    <w:p>
      <w:pPr>
        <w:pStyle w:val="Heading1"/>
      </w:pPr>
      <w:r>
        <w:rPr>
          <w:color w:val="0D1B2A"/>
        </w:rPr>
        <w:t>9. Conclusion</w:t>
      </w:r>
    </w:p>
    <w:p>
      <w:pPr>
        <w:spacing w:after="120"/>
      </w:pPr>
      <w:r>
        <w:rPr>
          <w:b w:val="0"/>
          <w:color w:val="000000"/>
          <w:sz w:val="21"/>
        </w:rPr>
        <w:t>Traditional supplier monitoring measures individual metrics at points in time. Each metric has a threshold. Each threshold is evaluated independently. A supplier that stays below every threshold is classified as low-risk, regardless of what is changing beneath the surface.</w:t>
      </w:r>
    </w:p>
    <w:p>
      <w:pPr>
        <w:spacing w:after="120"/>
      </w:pPr>
      <w:r>
        <w:rPr>
          <w:b w:val="0"/>
          <w:color w:val="000000"/>
          <w:sz w:val="21"/>
        </w:rPr>
        <w:t>Behavioral Entity Intelligence measures behavioral direction across entity relationships continuously. It asks not 'Is this metric within bounds?' but 'Is this entity behaving the same way it has historically?' and 'In which dimension is the behavior changing?' The decomposition into independent behavioral zones, the tracking of pairwise relationships, and the analysis of network structure together create a detection capability that addresses the four structural weaknesses of traditional monitoring: threshold blindness, single-entity tunnel vision, static risk scores, and sub-tier opacity.</w:t>
      </w:r>
    </w:p>
    <w:p>
      <w:pPr>
        <w:spacing w:after="120"/>
      </w:pPr>
      <w:r>
        <w:rPr>
          <w:b w:val="0"/>
          <w:color w:val="000000"/>
          <w:sz w:val="21"/>
        </w:rPr>
        <w:t>The central insight applies to supply chains as it does to cybersecurity: the supplier changes WHAT it sources, not HOW MUCH it delivers. The delivery rate stays strong. The quality score stays acceptable. But the component origins shifted. The sub-tier manufacturing site changed. The SBOM composition drifted. These changes are invisible to traditional metrics and visible to behavioral intelligence — as proven when the same framework caught every advanced threat that traditional methods missed in the cybersecurity domain.</w:t>
      </w:r>
    </w:p>
    <w:p>
      <w:pPr>
        <w:pBdr>
          <w:left w:val="single" w:sz="24" w:space="12" w:color="0E6B8A"/>
        </w:pBdr>
        <w:shd w:fill="EAF4F7" w:val="clear"/>
        <w:spacing w:before="160" w:after="160"/>
      </w:pPr>
      <w:r>
        <w:rPr>
          <w:b/>
          <w:color w:val="0D1B2A"/>
          <w:sz w:val="21"/>
        </w:rPr>
        <w:t>Next step: 22nd Century Technologies is prepared to conduct a 4-week proof of concept on DLA production data, demonstrating BEI detection capabilities against actual supply chain transaction history across a selected commodity group.</w:t>
      </w:r>
    </w:p>
    <w:p>
      <w:r>
        <w:br w:type="page"/>
      </w:r>
    </w:p>
    <w:p/>
    <w:p/>
    <w:p/>
    <w:p/>
    <w:p/>
    <w:p/>
    <w:p>
      <w:pPr>
        <w:jc w:val="center"/>
      </w:pPr>
      <w:r>
        <w:rPr>
          <w:b/>
          <w:color w:val="0D1B2A"/>
          <w:sz w:val="32"/>
        </w:rPr>
        <w:t>22nd Century Technologies, Inc.</w:t>
      </w:r>
    </w:p>
    <w:p/>
    <w:p>
      <w:pPr>
        <w:jc w:val="center"/>
      </w:pPr>
      <w:r>
        <w:rPr>
          <w:color w:val="1B4F72"/>
          <w:sz w:val="26"/>
        </w:rPr>
        <w:t>V-Intelligence UEBA Program — Supply Chain Risk Management</w:t>
      </w:r>
    </w:p>
    <w:p/>
    <w:p>
      <w:pPr>
        <w:jc w:val="center"/>
      </w:pPr>
      <w:r>
        <w:rPr>
          <w:color w:val="444444"/>
          <w:sz w:val="24"/>
        </w:rPr>
        <w:t>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