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A Comprehensive Framework for Detecting Advanced Cyber Threats</w:t>
        <w:br/>
        <w:t>Through Behavioral Baseline, Drift, and Direction Analysis</w:t>
      </w:r>
    </w:p>
    <w:p/>
    <w:p/>
    <w:p>
      <w:pPr>
        <w:jc w:val="center"/>
      </w:pPr>
      <w:r>
        <w:rPr>
          <w:color w:val="444444"/>
          <w:sz w:val="24"/>
        </w:rPr>
        <w:t>22nd Century Technologies, Inc.</w:t>
        <w:br/>
        <w:t>V-Intelligence UEBA Program</w:t>
        <w:br/>
        <w:br/>
        <w:t>June 2026 — Version 2.0</w:t>
      </w:r>
    </w:p>
    <w:p>
      <w:r>
        <w:br w:type="page"/>
      </w:r>
    </w:p>
    <w:p>
      <w:pPr>
        <w:pStyle w:val="Heading1"/>
      </w:pPr>
      <w:r>
        <w:rPr>
          <w:color w:val="0D1B2A"/>
        </w:rPr>
        <w:t>1. Executive Summary</w:t>
      </w:r>
    </w:p>
    <w:p>
      <w:pPr>
        <w:spacing w:after="120"/>
      </w:pPr>
      <w:r>
        <w:rPr>
          <w:b w:val="0"/>
          <w:i w:val="0"/>
          <w:color w:val="000000"/>
          <w:sz w:val="21"/>
        </w:rPr>
        <w:t>Modern cyber threats have evolved beyond the capabilities of traditional security tools. Nation-state actors, sophisticated insider threats, and living-off-the-land (LOTL) techniques now operate below the detection thresholds of rule-based SIEM systems and signature-based intrusion detection. These attacks succeed not by tripping alarms, but by carefully staying within the statistical bounds of normal behavior while gradually shifting their operational profile over weeks and months.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w:t>
      </w:r>
    </w:p>
    <w:p>
      <w:pPr>
        <w:pStyle w:val="ListBullet"/>
        <w:ind w:left="360"/>
      </w:pPr>
      <w:r>
        <w:rPr>
          <w:b/>
          <w:sz w:val="21"/>
        </w:rPr>
        <w:t xml:space="preserve">Finding 2: </w:t>
      </w:r>
      <w:r>
        <w:rPr>
          <w:sz w:val="21"/>
        </w:rPr>
        <w:t>Behavioral drift analysis alone fails when attack signals from one behavioral zone are diluted by four stable zones.</w:t>
      </w:r>
    </w:p>
    <w:p>
      <w:pPr>
        <w:pStyle w:val="ListBullet"/>
        <w:ind w:left="360"/>
      </w:pPr>
      <w:r>
        <w:rPr>
          <w:b/>
          <w:sz w:val="21"/>
        </w:rPr>
        <w:t xml:space="preserve">Finding 3: </w:t>
      </w:r>
      <w:r>
        <w:rPr>
          <w:sz w:val="21"/>
        </w:rPr>
        <w:t>Multi-phase composite scoring detects all 4 attack types at 8.5% false positive rate (21 FP out of 246 normal users).</w:t>
      </w:r>
    </w:p>
    <w:p>
      <w:pPr>
        <w:pStyle w:val="ListBullet"/>
        <w:ind w:left="360"/>
      </w:pPr>
      <w:r>
        <w:rPr>
          <w:b/>
          <w:sz w:val="21"/>
        </w:rPr>
        <w:t xml:space="preserve">Finding 4: </w:t>
      </w:r>
      <w:r>
        <w:rPr>
          <w:sz w:val="21"/>
        </w:rPr>
        <w:t>Semantic behavioral embeddings outperform raw feature vectors by capturing what kind of change occurred, not just how much changed.</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Composite scoring's 4-of-4 detection at 8.5% false positive rate is achieved by fusing five behavioral phases rather than thresholding any single metric.</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every campaign at a</w:t>
              <w:br/>
              <w:t>manageable FP rate. 21 false</w:t>
              <w:br/>
              <w:t>positives across 246 normal users.</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(26.8) + Breadth (9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(6.8) + Breadth (8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not marginal. Feature-space CUSUM detects 0 of 4 attackers. Semantic CUSUM separates all 4.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