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Behavioral Intelligence for DODIN Enterprise Cyber Defense</w:t>
      </w:r>
    </w:p>
    <w:p/>
    <w:p/>
    <w:p>
      <w:pPr>
        <w:jc w:val="center"/>
      </w:pPr>
      <w:r>
        <w:rPr>
          <w:color w:val="444444"/>
          <w:sz w:val="24"/>
        </w:rPr>
        <w:t>22nd Century Technologies, Inc.</w:t>
        <w:br/>
        <w:t>V-Intelligence UEBA Program</w:t>
        <w:br/>
        <w:br/>
        <w:t>June 2026 — Version 2.0</w:t>
        <w:br/>
        <w:br/>
        <w:t>Prepared for: Defense Information Systems Agency — PEO for Cyber</w:t>
      </w:r>
    </w:p>
    <w:p>
      <w:r>
        <w:br w:type="page"/>
      </w:r>
    </w:p>
    <w:p>
      <w:pPr>
        <w:pStyle w:val="Heading1"/>
      </w:pPr>
      <w:r>
        <w:rPr>
          <w:color w:val="0D1B2A"/>
        </w:rPr>
        <w:t>1. Executive Summary</w:t>
      </w:r>
    </w:p>
    <w:p>
      <w:pPr>
        <w:spacing w:after="40"/>
      </w:pPr>
      <w:r>
        <w:rPr>
          <w:b/>
          <w:i w:val="0"/>
          <w:color w:val="000000"/>
          <w:sz w:val="21"/>
        </w:rPr>
        <w:t>The Enterprise Network Threat</w:t>
      </w:r>
    </w:p>
    <w:p>
      <w:pPr>
        <w:spacing w:after="120"/>
      </w:pPr>
      <w:r>
        <w:rPr>
          <w:b w:val="0"/>
          <w:i w:val="0"/>
          <w:color w:val="000000"/>
          <w:sz w:val="21"/>
        </w:rPr>
        <w:t>The Department of Defense Information Network (DODIN) serves millions of users across combatant commands, services, and agencies. DISA's mission to defend this infrastructure faces a fundamental challenge: adversaries who obtain valid credentials can operate within authorized access boundaries indefinitely. Traditional perimeter defenses and signature-based detection cannot distinguish a legitimate administrator from an adversary using stolen credentials to conduct reconnaissance and data staging.</w:t>
      </w:r>
    </w:p>
    <w:p>
      <w:pPr>
        <w:spacing w:after="120"/>
      </w:pPr>
      <w:r>
        <w:rPr>
          <w:b w:val="0"/>
          <w:i w:val="0"/>
          <w:color w:val="000000"/>
          <w:sz w:val="21"/>
        </w:rPr>
        <w:t>Zero Trust Architecture (NIST SP 800-207, OMB M-22-09) mandates continuous verification — but continuous verification requires continuous behavioral assessment. V-Intelligence UEBA provides the behavioral intelligence layer that Zero Trust requires: real-time behavioral scoring that feeds into access decisions, detecting drift from established baselines across five behavioral dimensions before damage occurs.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 Every attack user's individual feature values remain within normal statistical ranges.</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detects all 4 attack types at 8.5% false positive rate (21 false positives out of 246 normal users).</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Composite scoring's 4-of-4 detection at 8.5% false positive rate is achieved by fusing five behavioral phases rather than thresholding any single metric.</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every campaign at a</w:t>
              <w:br/>
              <w:t>manageable FP rate. 21 false</w:t>
              <w:br/>
              <w:t>positives across 246 normal users.</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(26.8) + Breadth (9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(6.8) + Breadth (8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not marginal. Feature-space CUSUM detects 0 of 4 attackers. Semantic CUSUM separates all 4.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