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Special Operations Cyber Defense</w:t>
      </w:r>
    </w:p>
    <w:p/>
    <w:p/>
    <w:p>
      <w:pPr>
        <w:jc w:val="center"/>
      </w:pPr>
      <w:r>
        <w:rPr>
          <w:color w:val="444444"/>
          <w:sz w:val="24"/>
        </w:rPr>
        <w:t>22nd Century Technologies, Inc.</w:t>
        <w:br/>
        <w:t>V-Intelligence UEBA Program</w:t>
        <w:br/>
        <w:br/>
        <w:t>June 2026 — Version 2.0</w:t>
        <w:br/>
        <w:br/>
        <w:t>Prepared for: United States Special Operations Command — SDA, EIS, S&amp;T, Innovation</w:t>
      </w:r>
    </w:p>
    <w:p>
      <w:r>
        <w:br w:type="page"/>
      </w:r>
    </w:p>
    <w:p>
      <w:pPr>
        <w:pStyle w:val="Heading1"/>
      </w:pPr>
      <w:r>
        <w:rPr>
          <w:color w:val="0D1B2A"/>
        </w:rPr>
        <w:t>1. Executive Summary</w:t>
      </w:r>
    </w:p>
    <w:p>
      <w:pPr>
        <w:spacing w:after="40"/>
      </w:pPr>
      <w:r>
        <w:rPr>
          <w:b/>
          <w:i w:val="0"/>
          <w:color w:val="000000"/>
          <w:sz w:val="21"/>
        </w:rPr>
        <w:t>The Special Operations Threat</w:t>
      </w:r>
    </w:p>
    <w:p>
      <w:pPr>
        <w:spacing w:after="120"/>
      </w:pPr>
      <w:r>
        <w:rPr>
          <w:b w:val="0"/>
          <w:i w:val="0"/>
          <w:color w:val="000000"/>
          <w:sz w:val="21"/>
        </w:rPr>
        <w:t>Special Operations Forces operate across multiple networks, classification levels, and geographic combatant commands. Personnel routinely access compartmented programs, operational plans, and intelligence sources. An insider threat in this environment carries disproportionate risk — a single compromised operator can expose source networks, mission timelines, and force disposition data that directly endangers lives.</w:t>
      </w:r>
    </w:p>
    <w:p>
      <w:pPr>
        <w:spacing w:after="120"/>
      </w:pPr>
      <w:r>
        <w:rPr>
          <w:b w:val="0"/>
          <w:i w:val="0"/>
          <w:color w:val="000000"/>
          <w:sz w:val="21"/>
        </w:rPr>
        <w:t>Nation-state adversaries actively target SOF infrastructure for intelligence collection. The Salt Typhoon campaign operated inside US telecom infrastructure for over 5 years before discovery, accessing lawful intercept systems. V-Intelligence UEBA detects these threats by building behavioral profiles across authentication, file access, network, and endpoint telemetry — identifying when an entity's behavior drifts from its established baseline across any of five behavioral dimensions, even when individual metrics remain within normal ranges.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Composite scoring's 4-of-4 detection at 8.5% false positive rate is achieved by fusing five behavioral phases rather than thresholding any single metric.</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every campaign at a</w:t>
              <w:br/>
              <w:t>manageable FP rate. 21 false</w:t>
              <w:br/>
              <w:t>positives across 246 normal users.</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not marginal. Feature-space CUSUM detects 0 of 4 attackers. Semantic CUSUM separates all 4.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