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1B2A"/>
          <w:sz w:val="68"/>
        </w:rPr>
        <w:t>Behavioral Entity Intelligence</w:t>
      </w:r>
    </w:p>
    <w:p>
      <w:pPr>
        <w:jc w:val="center"/>
      </w:pPr>
      <w:r>
        <w:rPr>
          <w:color w:val="1B4F72"/>
          <w:sz w:val="30"/>
        </w:rPr>
        <w:t>A Universal Framework for Anomaly Detection Through</w:t>
        <w:br/>
        <w:t>Entity Profiles, Temporal Dynamics, Relationship Analysis,</w:t>
        <w:br/>
        <w:t>and Network Intelligence</w:t>
      </w:r>
    </w:p>
    <w:p/>
    <w:p/>
    <w:p>
      <w:pPr>
        <w:jc w:val="center"/>
      </w:pPr>
      <w:r>
        <w:rPr>
          <w:color w:val="444444"/>
          <w:sz w:val="24"/>
        </w:rPr>
        <w:t>22nd Century Technologies, Inc.</w:t>
        <w:br/>
        <w:br/>
        <w:t>June 2026</w:t>
        <w:br/>
        <w:br/>
        <w:t>Concept Paper — Version 1.0</w:t>
      </w:r>
    </w:p>
    <w:p>
      <w:r>
        <w:br w:type="page"/>
      </w:r>
    </w:p>
    <w:p>
      <w:pPr>
        <w:pStyle w:val="Heading1"/>
      </w:pPr>
      <w:r>
        <w:rPr>
          <w:color w:val="0D1B2A"/>
        </w:rPr>
        <w:t>Table of Contents</w:t>
      </w:r>
    </w:p>
    <w:p>
      <w:pPr>
        <w:spacing w:after="40"/>
      </w:pPr>
      <w:r>
        <w:rPr>
          <w:color w:val="0D1B2A"/>
          <w:sz w:val="21"/>
        </w:rPr>
        <w:t>1. Abstract</w:t>
      </w:r>
    </w:p>
    <w:p>
      <w:pPr>
        <w:spacing w:after="40"/>
      </w:pPr>
      <w:r>
        <w:rPr>
          <w:color w:val="0D1B2A"/>
          <w:sz w:val="21"/>
        </w:rPr>
        <w:t>2. The Problem: Why Traditional Analytics Fail</w:t>
      </w:r>
    </w:p>
    <w:p>
      <w:pPr>
        <w:spacing w:after="40"/>
      </w:pPr>
      <w:r>
        <w:rPr>
          <w:color w:val="0D1B2A"/>
          <w:sz w:val="21"/>
        </w:rPr>
        <w:t>3. The Nine Dimensions of Behavioral Entity Intelligence</w:t>
      </w:r>
    </w:p>
    <w:p>
      <w:pPr>
        <w:spacing w:after="40"/>
      </w:pPr>
      <w:r>
        <w:rPr>
          <w:color w:val="1B4F72"/>
          <w:sz w:val="21"/>
        </w:rPr>
        <w:t xml:space="preserve">   3.1. Identity — Who or What Is the Entity?</w:t>
      </w:r>
    </w:p>
    <w:p>
      <w:pPr>
        <w:spacing w:after="40"/>
      </w:pPr>
      <w:r>
        <w:rPr>
          <w:color w:val="1B4F72"/>
          <w:sz w:val="21"/>
        </w:rPr>
        <w:t xml:space="preserve">   3.2. Behavior — What Does the Entity Do?</w:t>
      </w:r>
    </w:p>
    <w:p>
      <w:pPr>
        <w:spacing w:after="40"/>
      </w:pPr>
      <w:r>
        <w:rPr>
          <w:color w:val="1B4F72"/>
          <w:sz w:val="21"/>
        </w:rPr>
        <w:t xml:space="preserve">   3.3. Time — Temporal Evolution and Drift</w:t>
      </w:r>
    </w:p>
    <w:p>
      <w:pPr>
        <w:spacing w:after="40"/>
      </w:pPr>
      <w:r>
        <w:rPr>
          <w:color w:val="1B4F72"/>
          <w:sz w:val="21"/>
        </w:rPr>
        <w:t xml:space="preserve">   3.4. Space — Geographic and Topological Position</w:t>
      </w:r>
    </w:p>
    <w:p>
      <w:pPr>
        <w:spacing w:after="40"/>
      </w:pPr>
      <w:r>
        <w:rPr>
          <w:color w:val="1B4F72"/>
          <w:sz w:val="21"/>
        </w:rPr>
        <w:t xml:space="preserve">   3.5. Relationship — Pairwise Entity Dynamics</w:t>
      </w:r>
    </w:p>
    <w:p>
      <w:pPr>
        <w:spacing w:after="40"/>
      </w:pPr>
      <w:r>
        <w:rPr>
          <w:color w:val="1B4F72"/>
          <w:sz w:val="21"/>
        </w:rPr>
        <w:t xml:space="preserve">   3.6. Network — Graph-Level Ecosystem Intelligence</w:t>
      </w:r>
    </w:p>
    <w:p>
      <w:pPr>
        <w:spacing w:after="40"/>
      </w:pPr>
      <w:r>
        <w:rPr>
          <w:color w:val="1B4F72"/>
          <w:sz w:val="21"/>
        </w:rPr>
        <w:t xml:space="preserve">   3.7. Sequence — Order of Operations</w:t>
      </w:r>
    </w:p>
    <w:p>
      <w:pPr>
        <w:spacing w:after="40"/>
      </w:pPr>
      <w:r>
        <w:rPr>
          <w:color w:val="1B4F72"/>
          <w:sz w:val="21"/>
        </w:rPr>
        <w:t xml:space="preserve">   3.8. Periodicity — Rhythm and Cadence</w:t>
      </w:r>
    </w:p>
    <w:p>
      <w:pPr>
        <w:spacing w:after="40"/>
      </w:pPr>
      <w:r>
        <w:rPr>
          <w:color w:val="1B4F72"/>
          <w:sz w:val="21"/>
        </w:rPr>
        <w:t xml:space="preserve">   3.9. Context — Environmental Meaning</w:t>
      </w:r>
    </w:p>
    <w:p>
      <w:pPr>
        <w:spacing w:after="40"/>
      </w:pPr>
      <w:r>
        <w:rPr>
          <w:color w:val="0D1B2A"/>
          <w:sz w:val="21"/>
        </w:rPr>
        <w:t>4. Three-Layer Architecture</w:t>
      </w:r>
    </w:p>
    <w:p>
      <w:pPr>
        <w:spacing w:after="40"/>
      </w:pPr>
      <w:r>
        <w:rPr>
          <w:color w:val="1B4F72"/>
          <w:sz w:val="21"/>
        </w:rPr>
        <w:t xml:space="preserve">   4.1. Layer 1: Entity Behavioral Profiles</w:t>
      </w:r>
    </w:p>
    <w:p>
      <w:pPr>
        <w:spacing w:after="40"/>
      </w:pPr>
      <w:r>
        <w:rPr>
          <w:color w:val="1B4F72"/>
          <w:sz w:val="21"/>
        </w:rPr>
        <w:t xml:space="preserve">   4.2. Layer 2: Relationship Behavioral Profiles</w:t>
      </w:r>
    </w:p>
    <w:p>
      <w:pPr>
        <w:spacing w:after="40"/>
      </w:pPr>
      <w:r>
        <w:rPr>
          <w:color w:val="1B4F72"/>
          <w:sz w:val="21"/>
        </w:rPr>
        <w:t xml:space="preserve">   4.3. Layer 3: Network Intelligence</w:t>
      </w:r>
    </w:p>
    <w:p>
      <w:pPr>
        <w:spacing w:after="40"/>
      </w:pPr>
      <w:r>
        <w:rPr>
          <w:color w:val="1B4F72"/>
          <w:sz w:val="21"/>
        </w:rPr>
        <w:t xml:space="preserve">   4.4. Peer-Cohort Baselining — Self vs. Cohort</w:t>
      </w:r>
    </w:p>
    <w:p>
      <w:pPr>
        <w:spacing w:after="40"/>
      </w:pPr>
      <w:r>
        <w:rPr>
          <w:color w:val="0D1B2A"/>
          <w:sz w:val="21"/>
        </w:rPr>
        <w:t>5. Multi-Phase Composite Scoring</w:t>
      </w:r>
    </w:p>
    <w:p>
      <w:pPr>
        <w:spacing w:after="40"/>
      </w:pPr>
      <w:r>
        <w:rPr>
          <w:color w:val="0D1B2A"/>
          <w:sz w:val="21"/>
        </w:rPr>
        <w:t>6. Domain Applications</w:t>
      </w:r>
    </w:p>
    <w:p>
      <w:pPr>
        <w:spacing w:after="40"/>
      </w:pPr>
      <w:r>
        <w:rPr>
          <w:color w:val="1B4F72"/>
          <w:sz w:val="21"/>
        </w:rPr>
        <w:t xml:space="preserve">   6.1. Cybersecurity — Insider Threat and APT Detection</w:t>
      </w:r>
    </w:p>
    <w:p>
      <w:pPr>
        <w:spacing w:after="40"/>
      </w:pPr>
      <w:r>
        <w:rPr>
          <w:color w:val="1B4F72"/>
          <w:sz w:val="21"/>
        </w:rPr>
        <w:t xml:space="preserve">   6.2. Defense Supply Chain — DLA, SCRM, SBOM</w:t>
      </w:r>
    </w:p>
    <w:p>
      <w:pPr>
        <w:spacing w:after="40"/>
      </w:pPr>
      <w:r>
        <w:rPr>
          <w:color w:val="1B4F72"/>
          <w:sz w:val="21"/>
        </w:rPr>
        <w:t xml:space="preserve">   6.3. Prescriptive Maintenance — Equipment Reliability</w:t>
      </w:r>
    </w:p>
    <w:p>
      <w:pPr>
        <w:spacing w:after="40"/>
      </w:pPr>
      <w:r>
        <w:rPr>
          <w:color w:val="1B4F72"/>
          <w:sz w:val="21"/>
        </w:rPr>
        <w:t xml:space="preserve">   6.4. Healthcare Fraud — Medical Billing and Claims</w:t>
      </w:r>
    </w:p>
    <w:p>
      <w:pPr>
        <w:spacing w:after="40"/>
      </w:pPr>
      <w:r>
        <w:rPr>
          <w:color w:val="1B4F72"/>
          <w:sz w:val="21"/>
        </w:rPr>
        <w:t xml:space="preserve">   6.5. Insurance Fraud — Unemployment, Property, Casualty</w:t>
      </w:r>
    </w:p>
    <w:p>
      <w:pPr>
        <w:spacing w:after="40"/>
      </w:pPr>
      <w:r>
        <w:rPr>
          <w:color w:val="1B4F72"/>
          <w:sz w:val="21"/>
        </w:rPr>
        <w:t xml:space="preserve">   6.6. Clinical Trials — Patient Safety and Site Integrity</w:t>
      </w:r>
    </w:p>
    <w:p>
      <w:pPr>
        <w:spacing w:after="40"/>
      </w:pPr>
      <w:r>
        <w:rPr>
          <w:color w:val="1B4F72"/>
          <w:sz w:val="21"/>
        </w:rPr>
        <w:t xml:space="preserve">   6.7. Counter-Intelligence — Adversary Activity Detection</w:t>
      </w:r>
    </w:p>
    <w:p>
      <w:pPr>
        <w:spacing w:after="40"/>
      </w:pPr>
      <w:r>
        <w:rPr>
          <w:color w:val="1B4F72"/>
          <w:sz w:val="21"/>
        </w:rPr>
        <w:t xml:space="preserve">   6.8. Anti-Money Laundering — Financial Crime Detection</w:t>
      </w:r>
    </w:p>
    <w:p>
      <w:pPr>
        <w:spacing w:after="40"/>
      </w:pPr>
      <w:r>
        <w:rPr>
          <w:color w:val="1B4F72"/>
          <w:sz w:val="21"/>
        </w:rPr>
        <w:t xml:space="preserve">   6.9. Counter-Terrorism — Network Disruption</w:t>
      </w:r>
    </w:p>
    <w:p>
      <w:pPr>
        <w:spacing w:after="40"/>
      </w:pPr>
      <w:r>
        <w:rPr>
          <w:color w:val="1B4F72"/>
          <w:sz w:val="21"/>
        </w:rPr>
        <w:t xml:space="preserve">   6.10. Counter-Narcotics — Trafficking Pattern Detection</w:t>
      </w:r>
    </w:p>
    <w:p>
      <w:pPr>
        <w:spacing w:after="40"/>
      </w:pPr>
      <w:r>
        <w:rPr>
          <w:color w:val="1B4F72"/>
          <w:sz w:val="21"/>
        </w:rPr>
        <w:t xml:space="preserve">   6.11. Energy and Critical Infrastructure</w:t>
      </w:r>
    </w:p>
    <w:p>
      <w:pPr>
        <w:spacing w:after="40"/>
      </w:pPr>
      <w:r>
        <w:rPr>
          <w:color w:val="1B4F72"/>
          <w:sz w:val="21"/>
        </w:rPr>
        <w:t xml:space="preserve">   6.12. Workforce Analytics — Retention and Insider Risk</w:t>
      </w:r>
    </w:p>
    <w:p>
      <w:pPr>
        <w:spacing w:after="40"/>
      </w:pPr>
      <w:r>
        <w:rPr>
          <w:color w:val="0D1B2A"/>
          <w:sz w:val="21"/>
        </w:rPr>
        <w:t>7. Data Requirements by Domain</w:t>
      </w:r>
    </w:p>
    <w:p>
      <w:pPr>
        <w:spacing w:after="40"/>
      </w:pPr>
      <w:r>
        <w:rPr>
          <w:color w:val="0D1B2A"/>
          <w:sz w:val="21"/>
        </w:rPr>
        <w:t>8. Validated Results: Cybersecurity Proof of Concept</w:t>
      </w:r>
    </w:p>
    <w:p>
      <w:pPr>
        <w:spacing w:after="40"/>
      </w:pPr>
      <w:r>
        <w:rPr>
          <w:color w:val="0D1B2A"/>
          <w:sz w:val="21"/>
        </w:rPr>
        <w:t>9. Implementation Architecture</w:t>
      </w:r>
    </w:p>
    <w:p>
      <w:pPr>
        <w:spacing w:after="40"/>
      </w:pPr>
      <w:r>
        <w:rPr>
          <w:color w:val="0D1B2A"/>
          <w:sz w:val="21"/>
        </w:rPr>
        <w:t>10. Conclusion</w:t>
      </w:r>
    </w:p>
    <w:p>
      <w:r>
        <w:br w:type="page"/>
      </w:r>
    </w:p>
    <w:p>
      <w:pPr>
        <w:pStyle w:val="Heading1"/>
      </w:pPr>
      <w:r>
        <w:rPr>
          <w:color w:val="0D1B2A"/>
        </w:rPr>
        <w:t>1. Abstract</w:t>
      </w:r>
    </w:p>
    <w:p>
      <w:pPr>
        <w:spacing w:after="120"/>
      </w:pPr>
      <w:r>
        <w:rPr>
          <w:b w:val="0"/>
          <w:i w:val="0"/>
          <w:color w:val="000000"/>
          <w:sz w:val="21"/>
        </w:rPr>
        <w:t>Every organization monitors entities — users, suppliers, patients, equipment, accounts, personnel. Traditional analytics detect anomalies by asking: is any single metric abnormal? This approach systematically fails against sophisticated threats that operate within normal statistical ranges while gradually shifting behavioral direction.</w:t>
      </w:r>
    </w:p>
    <w:p>
      <w:pPr>
        <w:spacing w:after="120"/>
      </w:pPr>
      <w:r>
        <w:rPr>
          <w:b w:val="0"/>
          <w:i w:val="0"/>
          <w:color w:val="000000"/>
          <w:sz w:val="21"/>
        </w:rPr>
        <w:t>This paper introduces Behavioral Entity Intelligence (BEI) — a universal analytical framework that defines any observable subject as a multi-dimensional behavioral entity, tracks its evolution across nine dimensions (identity, behavior, time, space, relationship, network, sequence, periodicity, and context), and detects anomalies through multi-phase composite scoring. The framework operates at three layers: individual entity profiles, pairwise relationship dynamics, and graph-level network intelligence.</w:t>
      </w:r>
    </w:p>
    <w:p>
      <w:pPr>
        <w:spacing w:after="120"/>
      </w:pPr>
      <w:r>
        <w:rPr>
          <w:b w:val="0"/>
          <w:i w:val="0"/>
          <w:color w:val="000000"/>
          <w:sz w:val="21"/>
        </w:rPr>
        <w:t>The core insight is domain-agnostic: the entity changes WHAT it does, not HOW MUCH. The insider accesses the same number of files but shifts from public to restricted content. The supplier delivers the same volume but shifts component sourcing from domestic to adversary-nation origins. The patient submits the same number of claims but shifts procedure codes upward. Traditional threshold-based systems see identical volumes and report no anomaly. BEI detects the directional change because it measures behavioral meaning, not just magnitude.</w:t>
      </w:r>
    </w:p>
    <w:p>
      <w:pPr>
        <w:spacing w:after="120"/>
      </w:pPr>
      <w:r>
        <w:rPr>
          <w:b w:val="0"/>
          <w:i w:val="0"/>
          <w:color w:val="000000"/>
          <w:sz w:val="21"/>
        </w:rPr>
        <w:t>Mechanically, BEI builds a DIGITAL TWIN of every entity — a living, multi-dimensional profile of its behavior, its relationships, and how both change over time. It brings the representational power of large language models — the rich semantic space a transformer learns — into the application layer of any domain, and couples it with rigorous vector mathematics: drift geometry, cohort statistics, and change-point detection. Where an LLM uses that space to understand language, BEI uses it to understand entity behavior.</w:t>
      </w:r>
    </w:p>
    <w:p>
      <w:pPr>
        <w:spacing w:after="120"/>
      </w:pPr>
      <w:r>
        <w:rPr>
          <w:b w:val="0"/>
          <w:i w:val="0"/>
          <w:color w:val="000000"/>
          <w:sz w:val="21"/>
        </w:rPr>
        <w:t>Validated through a cybersecurity proof of concept on synthetic telemetry — 250 users, 485 days, ~14 million events, 4 embedded attack campaigns — BEI achieves 4 of 4 attack detection at 8.1% false positive rate, while traditional methods catch at most 1 of the 4 (Z-Score catches one; LOF, Isolation Forest, and OCSVM catch none). BEI also adds zone-level directional intelligence — which behavioral dimension changed and toward what threat pattern. (All results are synthetic and require re-validation on production data.)</w:t>
      </w:r>
    </w:p>
    <w:p>
      <w:pPr>
        <w:pBdr>
          <w:left w:val="single" w:sz="24" w:space="12" w:color="0E6B8A"/>
        </w:pBdr>
        <w:shd w:fill="EAF4F7" w:val="clear"/>
        <w:spacing w:before="160" w:after="160"/>
      </w:pPr>
      <w:r>
        <w:rPr>
          <w:b/>
          <w:color w:val="0D1B2A"/>
          <w:sz w:val="21"/>
        </w:rPr>
        <w:t>The entity changes WHAT it does, not HOW MUCH. Traditional analytics measure magnitude. Behavioral Entity Intelligence measures direction.</w:t>
      </w:r>
    </w:p>
    <w:p>
      <w:r>
        <w:br w:type="page"/>
      </w:r>
    </w:p>
    <w:p>
      <w:pPr>
        <w:pStyle w:val="Heading1"/>
      </w:pPr>
      <w:r>
        <w:rPr>
          <w:color w:val="0D1B2A"/>
        </w:rPr>
        <w:t>2. The Problem: Why Traditional Analytics Fail</w:t>
      </w:r>
    </w:p>
    <w:p>
      <w:pPr>
        <w:spacing w:after="120"/>
      </w:pPr>
      <w:r>
        <w:rPr>
          <w:b w:val="0"/>
          <w:i w:val="0"/>
          <w:color w:val="000000"/>
          <w:sz w:val="21"/>
        </w:rPr>
        <w:t>Across every domain — cybersecurity, supply chain, healthcare, finance, intelligence — the most damaging threats share a common characteristic: they operate within the bounds of authorized activity. The insider uses valid credentials. The fraudulent provider submits properly formatted claims. The money launderer keeps individual transactions below reporting thresholds. The compromised supplier delivers on time and on spec — while gradually substituting components.</w:t>
      </w:r>
    </w:p>
    <w:p>
      <w:pPr>
        <w:spacing w:after="120"/>
      </w:pPr>
      <w:r>
        <w:rPr>
          <w:b/>
          <w:i w:val="0"/>
          <w:color w:val="000000"/>
          <w:sz w:val="21"/>
        </w:rPr>
        <w:t>Traditional analytics fail for three structural reasons:</w:t>
      </w:r>
    </w:p>
    <w:p>
      <w:pPr>
        <w:spacing w:after="40"/>
      </w:pPr>
      <w:r>
        <w:rPr>
          <w:b/>
          <w:i w:val="0"/>
          <w:color w:val="000000"/>
          <w:sz w:val="21"/>
        </w:rPr>
        <w:t>1. Threshold Blindness</w:t>
      </w:r>
    </w:p>
    <w:p>
      <w:pPr>
        <w:spacing w:after="120"/>
      </w:pPr>
      <w:r>
        <w:rPr>
          <w:b w:val="0"/>
          <w:i w:val="0"/>
          <w:color w:val="000000"/>
          <w:sz w:val="21"/>
        </w:rPr>
        <w:t>Rule-based systems define anomaly thresholds on individual metrics: transactions above $10,000, login attempts above 50, delivery delays above 5 days. Sophisticated actors stay below every individual threshold while achieving their objectives through directional change across multiple dimensions simultaneously.</w:t>
      </w:r>
    </w:p>
    <w:p>
      <w:pPr>
        <w:spacing w:after="40"/>
      </w:pPr>
      <w:r>
        <w:rPr>
          <w:b/>
          <w:i w:val="0"/>
          <w:color w:val="000000"/>
          <w:sz w:val="21"/>
        </w:rPr>
        <w:t>2. Magnitude-Only Measurement</w:t>
      </w:r>
    </w:p>
    <w:p>
      <w:pPr>
        <w:spacing w:after="120"/>
      </w:pPr>
      <w:r>
        <w:rPr>
          <w:b w:val="0"/>
          <w:i w:val="0"/>
          <w:color w:val="000000"/>
          <w:sz w:val="21"/>
        </w:rPr>
        <w:t>Statistical anomaly detection (z-scores, isolation forests, clustering) measures HOW MUCH a metric deviates from the mean. It cannot distinguish between a benign spike (seasonal demand increase) and a malicious shift (demand diverted to an unauthorized recipient). Both produce the same statistical magnitude. The DIRECTION of change — what kind of deviation — is invisible to magnitude-only methods.</w:t>
      </w:r>
    </w:p>
    <w:p>
      <w:pPr>
        <w:spacing w:after="40"/>
      </w:pPr>
      <w:r>
        <w:rPr>
          <w:b/>
          <w:i w:val="0"/>
          <w:color w:val="000000"/>
          <w:sz w:val="21"/>
        </w:rPr>
        <w:t>3. Single-Entity Tunnel Vision</w:t>
      </w:r>
    </w:p>
    <w:p>
      <w:pPr>
        <w:spacing w:after="120"/>
      </w:pPr>
      <w:r>
        <w:rPr>
          <w:b w:val="0"/>
          <w:i w:val="0"/>
          <w:color w:val="000000"/>
          <w:sz w:val="21"/>
        </w:rPr>
        <w:t>Traditional systems analyze entities in isolation. A supplier looks normal. A part looks normal. A location looks normal. But the RELATIONSHIP between them has changed — the supplier is now sourcing this specific part from a different country of origin. No single-entity analysis detects this. Only relationship-level behavioral intelligence reveals the shift.</w:t>
      </w:r>
    </w:p>
    <w:p>
      <w:pPr>
        <w:pBdr>
          <w:left w:val="single" w:sz="24" w:space="12" w:color="0E6B8A"/>
        </w:pBdr>
        <w:shd w:fill="EAF4F7" w:val="clear"/>
        <w:spacing w:before="160" w:after="160"/>
      </w:pPr>
      <w:r>
        <w:rPr>
          <w:b/>
          <w:color w:val="0D1B2A"/>
          <w:sz w:val="21"/>
        </w:rPr>
        <w:t>The gap is structural, not parametric. Better thresholds, more features, and larger training sets do not solve it. The solution requires a fundamentally different analytical approach: measure behavioral direction, not just magnitude, across entity relationships over time.</w:t>
      </w:r>
    </w:p>
    <w:p>
      <w:r>
        <w:br w:type="page"/>
      </w:r>
    </w:p>
    <w:p>
      <w:pPr>
        <w:pStyle w:val="Heading1"/>
      </w:pPr>
      <w:r>
        <w:rPr>
          <w:color w:val="0D1B2A"/>
        </w:rPr>
        <w:t>3. The Nine Dimensions of Behavioral Entity Intelligence</w:t>
      </w:r>
    </w:p>
    <w:p>
      <w:pPr>
        <w:jc w:val="center"/>
      </w:pPr>
      <w:r>
        <w:drawing>
          <wp:inline xmlns:a="http://schemas.openxmlformats.org/drawingml/2006/main" xmlns:pic="http://schemas.openxmlformats.org/drawingml/2006/picture">
            <wp:extent cx="5486400" cy="2345082"/>
            <wp:docPr id="1" name="Picture 1"/>
            <wp:cNvGraphicFramePr>
              <a:graphicFrameLocks noChangeAspect="1"/>
            </wp:cNvGraphicFramePr>
            <a:graphic>
              <a:graphicData uri="http://schemas.openxmlformats.org/drawingml/2006/picture">
                <pic:pic>
                  <pic:nvPicPr>
                    <pic:cNvPr id="0" name="fig_bei_dims.png"/>
                    <pic:cNvPicPr/>
                  </pic:nvPicPr>
                  <pic:blipFill>
                    <a:blip r:embed="rId9"/>
                    <a:stretch>
                      <a:fillRect/>
                    </a:stretch>
                  </pic:blipFill>
                  <pic:spPr>
                    <a:xfrm>
                      <a:off x="0" y="0"/>
                      <a:ext cx="5486400" cy="2345082"/>
                    </a:xfrm>
                    <a:prstGeom prst="rect"/>
                  </pic:spPr>
                </pic:pic>
              </a:graphicData>
            </a:graphic>
          </wp:inline>
        </w:drawing>
      </w:r>
    </w:p>
    <w:p>
      <w:pPr>
        <w:spacing w:after="160"/>
        <w:jc w:val="center"/>
      </w:pPr>
      <w:r>
        <w:rPr>
          <w:i/>
          <w:color w:val="444444"/>
          <w:sz w:val="18"/>
        </w:rPr>
        <w:t>Figure 1 — The nine complementary dimensions BEI uses to characterize any observable entity, from identity through context.</w:t>
      </w:r>
    </w:p>
    <w:p>
      <w:pPr>
        <w:spacing w:after="120"/>
      </w:pPr>
      <w:r>
        <w:rPr>
          <w:b w:val="0"/>
          <w:i w:val="0"/>
          <w:color w:val="000000"/>
          <w:sz w:val="21"/>
        </w:rPr>
        <w:t>BEI characterizes every observable entity through nine complementary dimensions. The first six capture distinct aspects of entity state and interaction. The last three — sequence, periodicity, and context — provide analytical lenses that transform raw observations into actionable intelligence.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432"/>
            <w:shd w:fill="0D1B2A"/>
          </w:tcPr>
          <w:p>
            <w:pPr>
              <w:jc w:val="center"/>
            </w:pPr>
            <w:r>
              <w:rPr>
                <w:b/>
                <w:color w:val="FFFFFF"/>
                <w:sz w:val="18"/>
              </w:rPr>
              <w:t>#</w:t>
            </w:r>
          </w:p>
        </w:tc>
        <w:tc>
          <w:tcPr>
            <w:tcW w:type="dxa" w:w="1296"/>
            <w:shd w:fill="0D1B2A"/>
          </w:tcPr>
          <w:p>
            <w:pPr>
              <w:jc w:val="center"/>
            </w:pPr>
            <w:r>
              <w:rPr>
                <w:b/>
                <w:color w:val="FFFFFF"/>
                <w:sz w:val="18"/>
              </w:rPr>
              <w:t>Dimension</w:t>
            </w:r>
          </w:p>
        </w:tc>
        <w:tc>
          <w:tcPr>
            <w:tcW w:type="dxa" w:w="2592"/>
            <w:shd w:fill="0D1B2A"/>
          </w:tcPr>
          <w:p>
            <w:pPr>
              <w:jc w:val="center"/>
            </w:pPr>
            <w:r>
              <w:rPr>
                <w:b/>
                <w:color w:val="FFFFFF"/>
                <w:sz w:val="18"/>
              </w:rPr>
              <w:t>Question Answered</w:t>
            </w:r>
          </w:p>
        </w:tc>
        <w:tc>
          <w:tcPr>
            <w:tcW w:type="dxa" w:w="5040"/>
            <w:shd w:fill="0D1B2A"/>
          </w:tcPr>
          <w:p>
            <w:pPr>
              <w:jc w:val="center"/>
            </w:pPr>
            <w:r>
              <w:rPr>
                <w:b/>
                <w:color w:val="FFFFFF"/>
                <w:sz w:val="18"/>
              </w:rPr>
              <w:t>What It Captures</w:t>
            </w:r>
          </w:p>
        </w:tc>
      </w:tr>
      <w:tr>
        <w:tc>
          <w:tcPr>
            <w:tcW w:type="dxa" w:w="432"/>
          </w:tcPr>
          <w:p>
            <w:r>
              <w:rPr>
                <w:sz w:val="18"/>
              </w:rPr>
              <w:t>1</w:t>
            </w:r>
          </w:p>
        </w:tc>
        <w:tc>
          <w:tcPr>
            <w:tcW w:type="dxa" w:w="1296"/>
          </w:tcPr>
          <w:p>
            <w:r>
              <w:rPr>
                <w:sz w:val="18"/>
              </w:rPr>
              <w:t>Identity</w:t>
            </w:r>
          </w:p>
        </w:tc>
        <w:tc>
          <w:tcPr>
            <w:tcW w:type="dxa" w:w="2592"/>
          </w:tcPr>
          <w:p>
            <w:r>
              <w:rPr>
                <w:sz w:val="18"/>
              </w:rPr>
              <w:t>WHO or WHAT is the entity?</w:t>
            </w:r>
          </w:p>
        </w:tc>
        <w:tc>
          <w:tcPr>
            <w:tcW w:type="dxa" w:w="5040"/>
          </w:tcPr>
          <w:p>
            <w:r>
              <w:rPr>
                <w:sz w:val="18"/>
              </w:rPr>
              <w:t>Static/slow-changing attributes: role, type, classification, certification, clearance, geographic registration</w:t>
            </w:r>
          </w:p>
        </w:tc>
      </w:tr>
      <w:tr>
        <w:tc>
          <w:tcPr>
            <w:tcW w:type="dxa" w:w="432"/>
            <w:shd w:fill="EAF0F6"/>
          </w:tcPr>
          <w:p>
            <w:r>
              <w:rPr>
                <w:sz w:val="18"/>
              </w:rPr>
              <w:t>2</w:t>
            </w:r>
          </w:p>
        </w:tc>
        <w:tc>
          <w:tcPr>
            <w:tcW w:type="dxa" w:w="1296"/>
            <w:shd w:fill="EAF0F6"/>
          </w:tcPr>
          <w:p>
            <w:r>
              <w:rPr>
                <w:sz w:val="18"/>
              </w:rPr>
              <w:t>Behavior</w:t>
            </w:r>
          </w:p>
        </w:tc>
        <w:tc>
          <w:tcPr>
            <w:tcW w:type="dxa" w:w="2592"/>
            <w:shd w:fill="EAF0F6"/>
          </w:tcPr>
          <w:p>
            <w:r>
              <w:rPr>
                <w:sz w:val="18"/>
              </w:rPr>
              <w:t>WHAT does the entity DO?</w:t>
            </w:r>
          </w:p>
        </w:tc>
        <w:tc>
          <w:tcPr>
            <w:tcW w:type="dxa" w:w="5040"/>
            <w:shd w:fill="EAF0F6"/>
          </w:tcPr>
          <w:p>
            <w:r>
              <w:rPr>
                <w:sz w:val="18"/>
              </w:rPr>
              <w:t>Actions decomposed into zones: access patterns, transaction types, operational activities, resource consumption</w:t>
            </w:r>
          </w:p>
        </w:tc>
      </w:tr>
      <w:tr>
        <w:tc>
          <w:tcPr>
            <w:tcW w:type="dxa" w:w="432"/>
          </w:tcPr>
          <w:p>
            <w:r>
              <w:rPr>
                <w:sz w:val="18"/>
              </w:rPr>
              <w:t>3</w:t>
            </w:r>
          </w:p>
        </w:tc>
        <w:tc>
          <w:tcPr>
            <w:tcW w:type="dxa" w:w="1296"/>
          </w:tcPr>
          <w:p>
            <w:r>
              <w:rPr>
                <w:sz w:val="18"/>
              </w:rPr>
              <w:t>Time</w:t>
            </w:r>
          </w:p>
        </w:tc>
        <w:tc>
          <w:tcPr>
            <w:tcW w:type="dxa" w:w="2592"/>
          </w:tcPr>
          <w:p>
            <w:r>
              <w:rPr>
                <w:sz w:val="18"/>
              </w:rPr>
              <w:t>HOW does behavior evolve?</w:t>
            </w:r>
          </w:p>
        </w:tc>
        <w:tc>
          <w:tcPr>
            <w:tcW w:type="dxa" w:w="5040"/>
          </w:tcPr>
          <w:p>
            <w:r>
              <w:rPr>
                <w:sz w:val="18"/>
              </w:rPr>
              <w:t>Temporal baseline, drift velocity, acceleration, regime shifts, trend consistency across observation windows</w:t>
            </w:r>
          </w:p>
        </w:tc>
      </w:tr>
      <w:tr>
        <w:tc>
          <w:tcPr>
            <w:tcW w:type="dxa" w:w="432"/>
            <w:shd w:fill="EAF0F6"/>
          </w:tcPr>
          <w:p>
            <w:r>
              <w:rPr>
                <w:sz w:val="18"/>
              </w:rPr>
              <w:t>4</w:t>
            </w:r>
          </w:p>
        </w:tc>
        <w:tc>
          <w:tcPr>
            <w:tcW w:type="dxa" w:w="1296"/>
            <w:shd w:fill="EAF0F6"/>
          </w:tcPr>
          <w:p>
            <w:r>
              <w:rPr>
                <w:sz w:val="18"/>
              </w:rPr>
              <w:t>Space</w:t>
            </w:r>
          </w:p>
        </w:tc>
        <w:tc>
          <w:tcPr>
            <w:tcW w:type="dxa" w:w="2592"/>
            <w:shd w:fill="EAF0F6"/>
          </w:tcPr>
          <w:p>
            <w:r>
              <w:rPr>
                <w:sz w:val="18"/>
              </w:rPr>
              <w:t>WHERE does behavior occur?</w:t>
            </w:r>
          </w:p>
        </w:tc>
        <w:tc>
          <w:tcPr>
            <w:tcW w:type="dxa" w:w="5040"/>
            <w:shd w:fill="EAF0F6"/>
          </w:tcPr>
          <w:p>
            <w:r>
              <w:rPr>
                <w:sz w:val="18"/>
              </w:rPr>
              <w:t>Geographic location, network topology, logical position, jurisdiction, facility, deployment zone</w:t>
            </w:r>
          </w:p>
        </w:tc>
      </w:tr>
      <w:tr>
        <w:tc>
          <w:tcPr>
            <w:tcW w:type="dxa" w:w="432"/>
          </w:tcPr>
          <w:p>
            <w:r>
              <w:rPr>
                <w:sz w:val="18"/>
              </w:rPr>
              <w:t>5</w:t>
            </w:r>
          </w:p>
        </w:tc>
        <w:tc>
          <w:tcPr>
            <w:tcW w:type="dxa" w:w="1296"/>
          </w:tcPr>
          <w:p>
            <w:r>
              <w:rPr>
                <w:sz w:val="18"/>
              </w:rPr>
              <w:t>Relationship</w:t>
            </w:r>
          </w:p>
        </w:tc>
        <w:tc>
          <w:tcPr>
            <w:tcW w:type="dxa" w:w="2592"/>
          </w:tcPr>
          <w:p>
            <w:r>
              <w:rPr>
                <w:sz w:val="18"/>
              </w:rPr>
              <w:t>HOW does the entity connect to others?</w:t>
            </w:r>
          </w:p>
        </w:tc>
        <w:tc>
          <w:tcPr>
            <w:tcW w:type="dxa" w:w="5040"/>
          </w:tcPr>
          <w:p>
            <w:r>
              <w:rPr>
                <w:sz w:val="18"/>
              </w:rPr>
              <w:t>Pairwise behavioral signatures between entities. Drift in relationship even when individuals look stable</w:t>
            </w:r>
          </w:p>
        </w:tc>
      </w:tr>
      <w:tr>
        <w:tc>
          <w:tcPr>
            <w:tcW w:type="dxa" w:w="432"/>
            <w:shd w:fill="EAF0F6"/>
          </w:tcPr>
          <w:p>
            <w:r>
              <w:rPr>
                <w:sz w:val="18"/>
              </w:rPr>
              <w:t>6</w:t>
            </w:r>
          </w:p>
        </w:tc>
        <w:tc>
          <w:tcPr>
            <w:tcW w:type="dxa" w:w="1296"/>
            <w:shd w:fill="EAF0F6"/>
          </w:tcPr>
          <w:p>
            <w:r>
              <w:rPr>
                <w:sz w:val="18"/>
              </w:rPr>
              <w:t>Network</w:t>
            </w:r>
          </w:p>
        </w:tc>
        <w:tc>
          <w:tcPr>
            <w:tcW w:type="dxa" w:w="2592"/>
            <w:shd w:fill="EAF0F6"/>
          </w:tcPr>
          <w:p>
            <w:r>
              <w:rPr>
                <w:sz w:val="18"/>
              </w:rPr>
              <w:t>WHAT is the entity's ecosystem position?</w:t>
            </w:r>
          </w:p>
        </w:tc>
        <w:tc>
          <w:tcPr>
            <w:tcW w:type="dxa" w:w="5040"/>
            <w:shd w:fill="EAF0F6"/>
          </w:tcPr>
          <w:p>
            <w:r>
              <w:rPr>
                <w:sz w:val="18"/>
              </w:rPr>
              <w:t>Graph centrality, community membership, influence propagation, multi-hop risk chains, cohort correlation</w:t>
            </w:r>
          </w:p>
        </w:tc>
      </w:tr>
      <w:tr>
        <w:tc>
          <w:tcPr>
            <w:tcW w:type="dxa" w:w="432"/>
          </w:tcPr>
          <w:p>
            <w:r>
              <w:rPr>
                <w:sz w:val="18"/>
              </w:rPr>
              <w:t>7</w:t>
            </w:r>
          </w:p>
        </w:tc>
        <w:tc>
          <w:tcPr>
            <w:tcW w:type="dxa" w:w="1296"/>
          </w:tcPr>
          <w:p>
            <w:r>
              <w:rPr>
                <w:sz w:val="18"/>
              </w:rPr>
              <w:t>Sequence</w:t>
            </w:r>
          </w:p>
        </w:tc>
        <w:tc>
          <w:tcPr>
            <w:tcW w:type="dxa" w:w="2592"/>
          </w:tcPr>
          <w:p>
            <w:r>
              <w:rPr>
                <w:sz w:val="18"/>
              </w:rPr>
              <w:t>In what ORDER do events occur?</w:t>
            </w:r>
          </w:p>
        </w:tc>
        <w:tc>
          <w:tcPr>
            <w:tcW w:type="dxa" w:w="5040"/>
          </w:tcPr>
          <w:p>
            <w:r>
              <w:rPr>
                <w:sz w:val="18"/>
              </w:rPr>
              <w:t>Process flow compliance, kill chain progression, escalation patterns, stage skipping</w:t>
            </w:r>
          </w:p>
        </w:tc>
      </w:tr>
      <w:tr>
        <w:tc>
          <w:tcPr>
            <w:tcW w:type="dxa" w:w="432"/>
            <w:shd w:fill="EAF0F6"/>
          </w:tcPr>
          <w:p>
            <w:r>
              <w:rPr>
                <w:sz w:val="18"/>
              </w:rPr>
              <w:t>8</w:t>
            </w:r>
          </w:p>
        </w:tc>
        <w:tc>
          <w:tcPr>
            <w:tcW w:type="dxa" w:w="1296"/>
            <w:shd w:fill="EAF0F6"/>
          </w:tcPr>
          <w:p>
            <w:r>
              <w:rPr>
                <w:sz w:val="18"/>
              </w:rPr>
              <w:t>Periodicity</w:t>
            </w:r>
          </w:p>
        </w:tc>
        <w:tc>
          <w:tcPr>
            <w:tcW w:type="dxa" w:w="2592"/>
            <w:shd w:fill="EAF0F6"/>
          </w:tcPr>
          <w:p>
            <w:r>
              <w:rPr>
                <w:sz w:val="18"/>
              </w:rPr>
              <w:t>WHAT is the entity's rhythm?</w:t>
            </w:r>
          </w:p>
        </w:tc>
        <w:tc>
          <w:tcPr>
            <w:tcW w:type="dxa" w:w="5040"/>
            <w:shd w:fill="EAF0F6"/>
          </w:tcPr>
          <w:p>
            <w:r>
              <w:rPr>
                <w:sz w:val="18"/>
              </w:rPr>
              <w:t>Regular cadences (daily, weekly, seasonal), deviation from established rhythm, new periodic patterns</w:t>
            </w:r>
          </w:p>
        </w:tc>
      </w:tr>
      <w:tr>
        <w:tc>
          <w:tcPr>
            <w:tcW w:type="dxa" w:w="432"/>
          </w:tcPr>
          <w:p>
            <w:r>
              <w:rPr>
                <w:sz w:val="18"/>
              </w:rPr>
              <w:t>9</w:t>
            </w:r>
          </w:p>
        </w:tc>
        <w:tc>
          <w:tcPr>
            <w:tcW w:type="dxa" w:w="1296"/>
          </w:tcPr>
          <w:p>
            <w:r>
              <w:rPr>
                <w:sz w:val="18"/>
              </w:rPr>
              <w:t>Context</w:t>
            </w:r>
          </w:p>
        </w:tc>
        <w:tc>
          <w:tcPr>
            <w:tcW w:type="dxa" w:w="2592"/>
          </w:tcPr>
          <w:p>
            <w:r>
              <w:rPr>
                <w:sz w:val="18"/>
              </w:rPr>
              <w:t>WHAT does the behavior MEAN in this setting?</w:t>
            </w:r>
          </w:p>
        </w:tc>
        <w:tc>
          <w:tcPr>
            <w:tcW w:type="dxa" w:w="5040"/>
          </w:tcPr>
          <w:p>
            <w:r>
              <w:rPr>
                <w:sz w:val="18"/>
              </w:rPr>
              <w:t>Same behavior interpreted differently under different analytical contexts (investigation type, operational tempo, season)</w:t>
            </w:r>
          </w:p>
        </w:tc>
      </w:tr>
    </w:tbl>
    <w:p/>
    <w:p>
      <w:pPr>
        <w:pStyle w:val="Heading2"/>
      </w:pPr>
      <w:r>
        <w:rPr>
          <w:color w:val="1B4F72"/>
        </w:rPr>
        <w:t>3.1. Identity — Who or What Is the Entity?</w:t>
      </w:r>
    </w:p>
    <w:p>
      <w:pPr>
        <w:spacing w:after="120"/>
      </w:pPr>
      <w:r>
        <w:rPr>
          <w:b w:val="0"/>
          <w:i w:val="0"/>
          <w:color w:val="000000"/>
          <w:sz w:val="21"/>
        </w:rPr>
        <w:t>The identity dimension captures the relatively static attributes of an entity: a user's role, department, and clearance level; a supplier's geographic registration, certification status, and contract vehicle; a patient's demographics, insurance tier, and provider network; an equipment unit's model, age, and maintenance history. Identity changes infrequently — when it does change, the change itself is a significant signal (role change, supplier re-registration, provider network switch).</w:t>
      </w:r>
    </w:p>
    <w:p>
      <w:pPr>
        <w:pStyle w:val="Heading2"/>
      </w:pPr>
      <w:r>
        <w:rPr>
          <w:color w:val="1B4F72"/>
        </w:rPr>
        <w:t>3.2. Behavior — What Does the Entity Do?</w:t>
      </w:r>
    </w:p>
    <w:p>
      <w:pPr>
        <w:spacing w:after="120"/>
      </w:pPr>
      <w:r>
        <w:rPr>
          <w:b w:val="0"/>
          <w:i w:val="0"/>
          <w:color w:val="000000"/>
          <w:sz w:val="21"/>
        </w:rPr>
        <w:t>Behavior is decomposed into independent zones — distinct dimensions of activity that can drift independently. This decomposition is critical: a single composite behavioral score averages zone-specific signals, diluting the attack indicator. Zone decomposition preserves it.</w:t>
      </w:r>
    </w:p>
    <w:p>
      <w:pPr>
        <w:spacing w:after="120"/>
      </w:pPr>
      <w:r>
        <w:rPr>
          <w:b/>
          <w:i w:val="0"/>
          <w:color w:val="000000"/>
          <w:sz w:val="21"/>
        </w:rPr>
        <w:t>Examples of behavioral zone decomposition by domain:</w:t>
      </w:r>
    </w:p>
    <w:tbl>
      <w:tblPr>
        <w:tblStyle w:val="LightGrid-Accent1"/>
        <w:tblW w:type="auto" w:w="0"/>
        <w:jc w:val="center"/>
        <w:tblLook w:firstColumn="1" w:firstRow="1" w:lastColumn="0" w:lastRow="0" w:noHBand="0" w:noVBand="1" w:val="04A0"/>
      </w:tblPr>
      <w:tblGrid>
        <w:gridCol w:w="3135"/>
        <w:gridCol w:w="3135"/>
        <w:gridCol w:w="3135"/>
      </w:tblGrid>
      <w:tr>
        <w:tc>
          <w:tcPr>
            <w:tcW w:type="dxa" w:w="1440"/>
            <w:shd w:fill="0D1B2A"/>
          </w:tcPr>
          <w:p>
            <w:pPr>
              <w:jc w:val="center"/>
            </w:pPr>
            <w:r>
              <w:rPr>
                <w:b/>
                <w:color w:val="FFFFFF"/>
                <w:sz w:val="18"/>
              </w:rPr>
              <w:t>Domain</w:t>
            </w:r>
          </w:p>
        </w:tc>
        <w:tc>
          <w:tcPr>
            <w:tcW w:type="dxa" w:w="1440"/>
            <w:shd w:fill="0D1B2A"/>
          </w:tcPr>
          <w:p>
            <w:pPr>
              <w:jc w:val="center"/>
            </w:pPr>
            <w:r>
              <w:rPr>
                <w:b/>
                <w:color w:val="FFFFFF"/>
                <w:sz w:val="18"/>
              </w:rPr>
              <w:t>Entity</w:t>
            </w:r>
          </w:p>
        </w:tc>
        <w:tc>
          <w:tcPr>
            <w:tcW w:type="dxa" w:w="6480"/>
            <w:shd w:fill="0D1B2A"/>
          </w:tcPr>
          <w:p>
            <w:pPr>
              <w:jc w:val="center"/>
            </w:pPr>
            <w:r>
              <w:rPr>
                <w:b/>
                <w:color w:val="FFFFFF"/>
                <w:sz w:val="18"/>
              </w:rPr>
              <w:t>Behavioral Zones</w:t>
            </w:r>
          </w:p>
        </w:tc>
      </w:tr>
      <w:tr>
        <w:tc>
          <w:tcPr>
            <w:tcW w:type="dxa" w:w="1440"/>
          </w:tcPr>
          <w:p>
            <w:r>
              <w:rPr>
                <w:sz w:val="18"/>
              </w:rPr>
              <w:t>Cybersecurity</w:t>
            </w:r>
          </w:p>
        </w:tc>
        <w:tc>
          <w:tcPr>
            <w:tcW w:type="dxa" w:w="1440"/>
          </w:tcPr>
          <w:p>
            <w:r>
              <w:rPr>
                <w:sz w:val="18"/>
              </w:rPr>
              <w:t>User</w:t>
            </w:r>
          </w:p>
        </w:tc>
        <w:tc>
          <w:tcPr>
            <w:tcW w:type="dxa" w:w="6480"/>
          </w:tcPr>
          <w:p>
            <w:r>
              <w:rPr>
                <w:sz w:val="18"/>
              </w:rPr>
              <w:t>Identity zone, Access patterns, Data behavior, Network footprint, Risk posture</w:t>
            </w:r>
          </w:p>
        </w:tc>
      </w:tr>
      <w:tr>
        <w:tc>
          <w:tcPr>
            <w:tcW w:type="dxa" w:w="1440"/>
            <w:shd w:fill="EAF0F6"/>
          </w:tcPr>
          <w:p>
            <w:r>
              <w:rPr>
                <w:sz w:val="18"/>
              </w:rPr>
              <w:t>Supply Chain</w:t>
            </w:r>
          </w:p>
        </w:tc>
        <w:tc>
          <w:tcPr>
            <w:tcW w:type="dxa" w:w="1440"/>
            <w:shd w:fill="EAF0F6"/>
          </w:tcPr>
          <w:p>
            <w:r>
              <w:rPr>
                <w:sz w:val="18"/>
              </w:rPr>
              <w:t>Supplier</w:t>
            </w:r>
          </w:p>
        </w:tc>
        <w:tc>
          <w:tcPr>
            <w:tcW w:type="dxa" w:w="6480"/>
            <w:shd w:fill="EAF0F6"/>
          </w:tcPr>
          <w:p>
            <w:r>
              <w:rPr>
                <w:sz w:val="18"/>
              </w:rPr>
              <w:t>Delivery performance, Pricing behavior, Quality metrics, Sourcing geography, Capacity utilization</w:t>
            </w:r>
          </w:p>
        </w:tc>
      </w:tr>
      <w:tr>
        <w:tc>
          <w:tcPr>
            <w:tcW w:type="dxa" w:w="1440"/>
          </w:tcPr>
          <w:p>
            <w:r>
              <w:rPr>
                <w:sz w:val="18"/>
              </w:rPr>
              <w:t>Healthcare</w:t>
            </w:r>
          </w:p>
        </w:tc>
        <w:tc>
          <w:tcPr>
            <w:tcW w:type="dxa" w:w="1440"/>
          </w:tcPr>
          <w:p>
            <w:r>
              <w:rPr>
                <w:sz w:val="18"/>
              </w:rPr>
              <w:t>Provider</w:t>
            </w:r>
          </w:p>
        </w:tc>
        <w:tc>
          <w:tcPr>
            <w:tcW w:type="dxa" w:w="6480"/>
          </w:tcPr>
          <w:p>
            <w:r>
              <w:rPr>
                <w:sz w:val="18"/>
              </w:rPr>
              <w:t>Procedure mix, Diagnosis coding, Referral network, Patient demographics, Charge patterns</w:t>
            </w:r>
          </w:p>
        </w:tc>
      </w:tr>
      <w:tr>
        <w:tc>
          <w:tcPr>
            <w:tcW w:type="dxa" w:w="1440"/>
            <w:shd w:fill="EAF0F6"/>
          </w:tcPr>
          <w:p>
            <w:r>
              <w:rPr>
                <w:sz w:val="18"/>
              </w:rPr>
              <w:t>Finance</w:t>
            </w:r>
          </w:p>
        </w:tc>
        <w:tc>
          <w:tcPr>
            <w:tcW w:type="dxa" w:w="1440"/>
            <w:shd w:fill="EAF0F6"/>
          </w:tcPr>
          <w:p>
            <w:r>
              <w:rPr>
                <w:sz w:val="18"/>
              </w:rPr>
              <w:t>Account</w:t>
            </w:r>
          </w:p>
        </w:tc>
        <w:tc>
          <w:tcPr>
            <w:tcW w:type="dxa" w:w="6480"/>
            <w:shd w:fill="EAF0F6"/>
          </w:tcPr>
          <w:p>
            <w:r>
              <w:rPr>
                <w:sz w:val="18"/>
              </w:rPr>
              <w:t>Transaction geography, Merchant categories, Transfer patterns, Login behavior, Balance trajectory</w:t>
            </w:r>
          </w:p>
        </w:tc>
      </w:tr>
      <w:tr>
        <w:tc>
          <w:tcPr>
            <w:tcW w:type="dxa" w:w="1440"/>
          </w:tcPr>
          <w:p>
            <w:r>
              <w:rPr>
                <w:sz w:val="18"/>
              </w:rPr>
              <w:t>Maintenance</w:t>
            </w:r>
          </w:p>
        </w:tc>
        <w:tc>
          <w:tcPr>
            <w:tcW w:type="dxa" w:w="1440"/>
          </w:tcPr>
          <w:p>
            <w:r>
              <w:rPr>
                <w:sz w:val="18"/>
              </w:rPr>
              <w:t>Equipment</w:t>
            </w:r>
          </w:p>
        </w:tc>
        <w:tc>
          <w:tcPr>
            <w:tcW w:type="dxa" w:w="6480"/>
          </w:tcPr>
          <w:p>
            <w:r>
              <w:rPr>
                <w:sz w:val="18"/>
              </w:rPr>
              <w:t>Vibration profile, Thermal signature, Power consumption, Fluid chemistry, Error code patterns</w:t>
            </w:r>
          </w:p>
        </w:tc>
      </w:tr>
      <w:tr>
        <w:tc>
          <w:tcPr>
            <w:tcW w:type="dxa" w:w="1440"/>
            <w:shd w:fill="EAF0F6"/>
          </w:tcPr>
          <w:p>
            <w:r>
              <w:rPr>
                <w:sz w:val="18"/>
              </w:rPr>
              <w:t>Intelligence</w:t>
            </w:r>
          </w:p>
        </w:tc>
        <w:tc>
          <w:tcPr>
            <w:tcW w:type="dxa" w:w="1440"/>
            <w:shd w:fill="EAF0F6"/>
          </w:tcPr>
          <w:p>
            <w:r>
              <w:rPr>
                <w:sz w:val="18"/>
              </w:rPr>
              <w:t>Person of Interest</w:t>
            </w:r>
          </w:p>
        </w:tc>
        <w:tc>
          <w:tcPr>
            <w:tcW w:type="dxa" w:w="6480"/>
            <w:shd w:fill="EAF0F6"/>
          </w:tcPr>
          <w:p>
            <w:r>
              <w:rPr>
                <w:sz w:val="18"/>
              </w:rPr>
              <w:t>Travel patterns, Communication frequency, Financial activity, Social connections, Access to sensitive information</w:t>
            </w:r>
          </w:p>
        </w:tc>
      </w:tr>
    </w:tbl>
    <w:p/>
    <w:p>
      <w:pPr>
        <w:pStyle w:val="Heading2"/>
      </w:pPr>
      <w:r>
        <w:rPr>
          <w:color w:val="1B4F72"/>
        </w:rPr>
        <w:t>3.3. Time — Temporal Evolution and Drift</w:t>
      </w:r>
    </w:p>
    <w:p>
      <w:pPr>
        <w:spacing w:after="120"/>
      </w:pPr>
      <w:r>
        <w:rPr>
          <w:b w:val="0"/>
          <w:i w:val="0"/>
          <w:color w:val="000000"/>
          <w:sz w:val="21"/>
        </w:rPr>
        <w:t>The time dimension captures how behavior evolves through periodic snapshots (daily, weekly, monthly). Key temporal features include:</w:t>
      </w:r>
    </w:p>
    <w:p>
      <w:pPr>
        <w:pStyle w:val="ListBullet"/>
        <w:ind w:left="360"/>
      </w:pPr>
      <w:r>
        <w:rPr>
          <w:b/>
          <w:sz w:val="21"/>
        </w:rPr>
        <w:t xml:space="preserve">Drift velocity: </w:t>
      </w:r>
      <w:r>
        <w:rPr>
          <w:sz w:val="21"/>
        </w:rPr>
        <w:t>The magnitude and direction of behavioral change between consecutive periods</w:t>
      </w:r>
    </w:p>
    <w:p>
      <w:pPr>
        <w:pStyle w:val="ListBullet"/>
        <w:ind w:left="360"/>
      </w:pPr>
      <w:r>
        <w:rPr>
          <w:b/>
          <w:sz w:val="21"/>
        </w:rPr>
        <w:t xml:space="preserve">Acceleration: </w:t>
      </w:r>
      <w:r>
        <w:rPr>
          <w:sz w:val="21"/>
        </w:rPr>
        <w:t>Whether the rate of change is itself increasing — escalation detection</w:t>
      </w:r>
    </w:p>
    <w:p>
      <w:pPr>
        <w:pStyle w:val="ListBullet"/>
        <w:ind w:left="360"/>
      </w:pPr>
      <w:r>
        <w:rPr>
          <w:b/>
          <w:sz w:val="21"/>
        </w:rPr>
        <w:t xml:space="preserve">Regime shift: </w:t>
      </w:r>
      <w:r>
        <w:rPr>
          <w:sz w:val="21"/>
        </w:rPr>
        <w:t>Sudden discontinuities in behavioral patterns (cosine similarity between consecutive snapshots drops below threshold)</w:t>
      </w:r>
    </w:p>
    <w:p>
      <w:pPr>
        <w:pStyle w:val="ListBullet"/>
        <w:ind w:left="360"/>
      </w:pPr>
      <w:r>
        <w:rPr>
          <w:b/>
          <w:sz w:val="21"/>
        </w:rPr>
        <w:t xml:space="preserve">Sustained deviation: </w:t>
      </w:r>
      <w:r>
        <w:rPr>
          <w:sz w:val="21"/>
        </w:rPr>
        <w:t>Whether anomalies persist across multiple periods or are transient noise</w:t>
      </w:r>
    </w:p>
    <w:p>
      <w:pPr>
        <w:pStyle w:val="ListBullet"/>
        <w:ind w:left="360"/>
      </w:pPr>
      <w:r>
        <w:rPr>
          <w:b/>
          <w:sz w:val="21"/>
        </w:rPr>
        <w:t xml:space="preserve">Trend consistency: </w:t>
      </w:r>
      <w:r>
        <w:rPr>
          <w:sz w:val="21"/>
        </w:rPr>
        <w:t>Cumulative drift over long periods that individual-period thresholds miss</w:t>
      </w:r>
    </w:p>
    <w:p>
      <w:pPr>
        <w:pStyle w:val="Heading2"/>
      </w:pPr>
      <w:r>
        <w:rPr>
          <w:color w:val="1B4F72"/>
        </w:rPr>
        <w:t>3.4. Space — Geographic and Topological Position</w:t>
      </w:r>
    </w:p>
    <w:p>
      <w:pPr>
        <w:spacing w:after="120"/>
      </w:pPr>
      <w:r>
        <w:rPr>
          <w:b w:val="0"/>
          <w:i w:val="0"/>
          <w:color w:val="000000"/>
          <w:sz w:val="21"/>
        </w:rPr>
        <w:t>The spatial dimension captures where behavior occurs — geographic coordinates, network zones, facility identifiers, jurisdictions, or deployment locations. Spatial context transforms interpretation: a financial transaction from New York to London is routine; the same transaction routed through a sanctioned jurisdiction is a red flag. A login from the user's home office is normal; from a country they've never visited requires investigation.</w:t>
      </w:r>
    </w:p>
    <w:p>
      <w:pPr>
        <w:pStyle w:val="Heading2"/>
      </w:pPr>
      <w:r>
        <w:rPr>
          <w:color w:val="1B4F72"/>
        </w:rPr>
        <w:t>3.5. Relationship — Pairwise Entity Dynamics</w:t>
      </w:r>
    </w:p>
    <w:p>
      <w:pPr>
        <w:spacing w:after="120"/>
      </w:pPr>
      <w:r>
        <w:rPr>
          <w:b w:val="0"/>
          <w:i w:val="0"/>
          <w:color w:val="000000"/>
          <w:sz w:val="21"/>
        </w:rPr>
        <w:t>The relationship dimension captures how pairs of entities behave TOGETHER. The mathematical foundation is the Hadamard product: the element-wise product of two entity behavioral vectors, producing a relationship-specific behavioral signature that captures interaction patterns invisible to individual entity analysis.</w:t>
      </w:r>
    </w:p>
    <w:p>
      <w:pPr>
        <w:spacing w:after="40"/>
      </w:pPr>
      <w:r>
        <w:rPr>
          <w:b/>
          <w:i w:val="0"/>
          <w:color w:val="000000"/>
          <w:sz w:val="21"/>
        </w:rPr>
        <w:t>The critical insight:</w:t>
      </w:r>
    </w:p>
    <w:p>
      <w:pPr>
        <w:spacing w:after="120"/>
      </w:pPr>
      <w:r>
        <w:rPr>
          <w:b w:val="0"/>
          <w:i w:val="0"/>
          <w:color w:val="000000"/>
          <w:sz w:val="21"/>
        </w:rPr>
        <w:t>Entity A looks normal. Entity B looks normal. But the A×B relationship has drifted. In cybersecurity: a user's profile is stable and a device's profile is stable, but the user is now using a different device — the User×Device relationship changed. In supply chain: a supplier's performance is stable and an NSN's demand is stable, but the supplier is now sourcing THIS specific part from a different manufacturer — the Supplier×NSN×Manufacturer relationship reveals the risk.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Domain</w:t>
            </w:r>
          </w:p>
        </w:tc>
        <w:tc>
          <w:tcPr>
            <w:tcW w:type="dxa" w:w="1872"/>
            <w:shd w:fill="0D1B2A"/>
          </w:tcPr>
          <w:p>
            <w:pPr>
              <w:jc w:val="center"/>
            </w:pPr>
            <w:r>
              <w:rPr>
                <w:b/>
                <w:color w:val="FFFFFF"/>
                <w:sz w:val="18"/>
              </w:rPr>
              <w:t>Relationship</w:t>
            </w:r>
          </w:p>
        </w:tc>
        <w:tc>
          <w:tcPr>
            <w:tcW w:type="dxa" w:w="3168"/>
            <w:shd w:fill="0D1B2A"/>
          </w:tcPr>
          <w:p>
            <w:pPr>
              <w:jc w:val="center"/>
            </w:pPr>
            <w:r>
              <w:rPr>
                <w:b/>
                <w:color w:val="FFFFFF"/>
                <w:sz w:val="18"/>
              </w:rPr>
              <w:t>What It Captures</w:t>
            </w:r>
          </w:p>
        </w:tc>
        <w:tc>
          <w:tcPr>
            <w:tcW w:type="dxa" w:w="3168"/>
            <w:shd w:fill="0D1B2A"/>
          </w:tcPr>
          <w:p>
            <w:pPr>
              <w:jc w:val="center"/>
            </w:pPr>
            <w:r>
              <w:rPr>
                <w:b/>
                <w:color w:val="FFFFFF"/>
                <w:sz w:val="18"/>
              </w:rPr>
              <w:t>Anomaly Signal</w:t>
            </w:r>
          </w:p>
        </w:tc>
      </w:tr>
      <w:tr>
        <w:tc>
          <w:tcPr>
            <w:tcW w:type="dxa" w:w="1152"/>
          </w:tcPr>
          <w:p>
            <w:r>
              <w:rPr>
                <w:sz w:val="18"/>
              </w:rPr>
              <w:t>Cyber</w:t>
            </w:r>
          </w:p>
        </w:tc>
        <w:tc>
          <w:tcPr>
            <w:tcW w:type="dxa" w:w="1872"/>
          </w:tcPr>
          <w:p>
            <w:r>
              <w:rPr>
                <w:sz w:val="18"/>
              </w:rPr>
              <w:t>User × Device</w:t>
            </w:r>
          </w:p>
        </w:tc>
        <w:tc>
          <w:tcPr>
            <w:tcW w:type="dxa" w:w="3168"/>
          </w:tcPr>
          <w:p>
            <w:r>
              <w:rPr>
                <w:sz w:val="18"/>
              </w:rPr>
              <w:t>Which devices does this user normally use?</w:t>
            </w:r>
          </w:p>
        </w:tc>
        <w:tc>
          <w:tcPr>
            <w:tcW w:type="dxa" w:w="3168"/>
          </w:tcPr>
          <w:p>
            <w:r>
              <w:rPr>
                <w:sz w:val="18"/>
              </w:rPr>
              <w:t>User on unfamiliar device = credential theft</w:t>
            </w:r>
          </w:p>
        </w:tc>
      </w:tr>
      <w:tr>
        <w:tc>
          <w:tcPr>
            <w:tcW w:type="dxa" w:w="1152"/>
            <w:shd w:fill="EAF0F6"/>
          </w:tcPr>
          <w:p>
            <w:r>
              <w:rPr>
                <w:sz w:val="18"/>
              </w:rPr>
              <w:t>Supply Chain</w:t>
            </w:r>
          </w:p>
        </w:tc>
        <w:tc>
          <w:tcPr>
            <w:tcW w:type="dxa" w:w="1872"/>
            <w:shd w:fill="EAF0F6"/>
          </w:tcPr>
          <w:p>
            <w:r>
              <w:rPr>
                <w:sz w:val="18"/>
              </w:rPr>
              <w:t>Supplier × NSN</w:t>
            </w:r>
          </w:p>
        </w:tc>
        <w:tc>
          <w:tcPr>
            <w:tcW w:type="dxa" w:w="3168"/>
            <w:shd w:fill="EAF0F6"/>
          </w:tcPr>
          <w:p>
            <w:r>
              <w:rPr>
                <w:sz w:val="18"/>
              </w:rPr>
              <w:t>How does this supplier perform for this specific part?</w:t>
            </w:r>
          </w:p>
        </w:tc>
        <w:tc>
          <w:tcPr>
            <w:tcW w:type="dxa" w:w="3168"/>
            <w:shd w:fill="EAF0F6"/>
          </w:tcPr>
          <w:p>
            <w:r>
              <w:rPr>
                <w:sz w:val="18"/>
              </w:rPr>
              <w:t>Quality drift for one part while others stable = targeted substitution</w:t>
            </w:r>
          </w:p>
        </w:tc>
      </w:tr>
      <w:tr>
        <w:tc>
          <w:tcPr>
            <w:tcW w:type="dxa" w:w="1152"/>
          </w:tcPr>
          <w:p>
            <w:r>
              <w:rPr>
                <w:sz w:val="18"/>
              </w:rPr>
              <w:t>Supply Chain</w:t>
            </w:r>
          </w:p>
        </w:tc>
        <w:tc>
          <w:tcPr>
            <w:tcW w:type="dxa" w:w="1872"/>
          </w:tcPr>
          <w:p>
            <w:r>
              <w:rPr>
                <w:sz w:val="18"/>
              </w:rPr>
              <w:t>Supplier × Country</w:t>
            </w:r>
          </w:p>
        </w:tc>
        <w:tc>
          <w:tcPr>
            <w:tcW w:type="dxa" w:w="3168"/>
          </w:tcPr>
          <w:p>
            <w:r>
              <w:rPr>
                <w:sz w:val="18"/>
              </w:rPr>
              <w:t>Where does this supplier source components?</w:t>
            </w:r>
          </w:p>
        </w:tc>
        <w:tc>
          <w:tcPr>
            <w:tcW w:type="dxa" w:w="3168"/>
          </w:tcPr>
          <w:p>
            <w:r>
              <w:rPr>
                <w:sz w:val="18"/>
              </w:rPr>
              <w:t>Gradual shift to adversary-nation sourcing = SCRM risk</w:t>
            </w:r>
          </w:p>
        </w:tc>
      </w:tr>
      <w:tr>
        <w:tc>
          <w:tcPr>
            <w:tcW w:type="dxa" w:w="1152"/>
            <w:shd w:fill="EAF0F6"/>
          </w:tcPr>
          <w:p>
            <w:r>
              <w:rPr>
                <w:sz w:val="18"/>
              </w:rPr>
              <w:t>Supply Chain</w:t>
            </w:r>
          </w:p>
        </w:tc>
        <w:tc>
          <w:tcPr>
            <w:tcW w:type="dxa" w:w="1872"/>
            <w:shd w:fill="EAF0F6"/>
          </w:tcPr>
          <w:p>
            <w:r>
              <w:rPr>
                <w:sz w:val="18"/>
              </w:rPr>
              <w:t>NSN × SBOM</w:t>
            </w:r>
          </w:p>
        </w:tc>
        <w:tc>
          <w:tcPr>
            <w:tcW w:type="dxa" w:w="3168"/>
            <w:shd w:fill="EAF0F6"/>
          </w:tcPr>
          <w:p>
            <w:r>
              <w:rPr>
                <w:sz w:val="18"/>
              </w:rPr>
              <w:t>What components make up this assembly?</w:t>
            </w:r>
          </w:p>
        </w:tc>
        <w:tc>
          <w:tcPr>
            <w:tcW w:type="dxa" w:w="3168"/>
            <w:shd w:fill="EAF0F6"/>
          </w:tcPr>
          <w:p>
            <w:r>
              <w:rPr>
                <w:sz w:val="18"/>
              </w:rPr>
              <w:t>Bill of materials composition changes without notification</w:t>
            </w:r>
          </w:p>
        </w:tc>
      </w:tr>
      <w:tr>
        <w:tc>
          <w:tcPr>
            <w:tcW w:type="dxa" w:w="1152"/>
          </w:tcPr>
          <w:p>
            <w:r>
              <w:rPr>
                <w:sz w:val="18"/>
              </w:rPr>
              <w:t>Healthcare</w:t>
            </w:r>
          </w:p>
        </w:tc>
        <w:tc>
          <w:tcPr>
            <w:tcW w:type="dxa" w:w="1872"/>
          </w:tcPr>
          <w:p>
            <w:r>
              <w:rPr>
                <w:sz w:val="18"/>
              </w:rPr>
              <w:t>Provider × Diagnosis</w:t>
            </w:r>
          </w:p>
        </w:tc>
        <w:tc>
          <w:tcPr>
            <w:tcW w:type="dxa" w:w="3168"/>
          </w:tcPr>
          <w:p>
            <w:r>
              <w:rPr>
                <w:sz w:val="18"/>
              </w:rPr>
              <w:t>What diagnoses does this provider code?</w:t>
            </w:r>
          </w:p>
        </w:tc>
        <w:tc>
          <w:tcPr>
            <w:tcW w:type="dxa" w:w="3168"/>
          </w:tcPr>
          <w:p>
            <w:r>
              <w:rPr>
                <w:sz w:val="18"/>
              </w:rPr>
              <w:t>Diagnosis mix shifts toward higher-reimbursement codes = upcoding</w:t>
            </w:r>
          </w:p>
        </w:tc>
      </w:tr>
      <w:tr>
        <w:tc>
          <w:tcPr>
            <w:tcW w:type="dxa" w:w="1152"/>
            <w:shd w:fill="EAF0F6"/>
          </w:tcPr>
          <w:p>
            <w:r>
              <w:rPr>
                <w:sz w:val="18"/>
              </w:rPr>
              <w:t>Finance</w:t>
            </w:r>
          </w:p>
        </w:tc>
        <w:tc>
          <w:tcPr>
            <w:tcW w:type="dxa" w:w="1872"/>
            <w:shd w:fill="EAF0F6"/>
          </w:tcPr>
          <w:p>
            <w:r>
              <w:rPr>
                <w:sz w:val="18"/>
              </w:rPr>
              <w:t>Account × Geography</w:t>
            </w:r>
          </w:p>
        </w:tc>
        <w:tc>
          <w:tcPr>
            <w:tcW w:type="dxa" w:w="3168"/>
            <w:shd w:fill="EAF0F6"/>
          </w:tcPr>
          <w:p>
            <w:r>
              <w:rPr>
                <w:sz w:val="18"/>
              </w:rPr>
              <w:t>Where does this account transact?</w:t>
            </w:r>
          </w:p>
        </w:tc>
        <w:tc>
          <w:tcPr>
            <w:tcW w:type="dxa" w:w="3168"/>
            <w:shd w:fill="EAF0F6"/>
          </w:tcPr>
          <w:p>
            <w:r>
              <w:rPr>
                <w:sz w:val="18"/>
              </w:rPr>
              <w:t>Counterparty geography shifts toward sanctioned jurisdictions</w:t>
            </w:r>
          </w:p>
        </w:tc>
      </w:tr>
      <w:tr>
        <w:tc>
          <w:tcPr>
            <w:tcW w:type="dxa" w:w="1152"/>
          </w:tcPr>
          <w:p>
            <w:r>
              <w:rPr>
                <w:sz w:val="18"/>
              </w:rPr>
              <w:t>Intelligence</w:t>
            </w:r>
          </w:p>
        </w:tc>
        <w:tc>
          <w:tcPr>
            <w:tcW w:type="dxa" w:w="1872"/>
          </w:tcPr>
          <w:p>
            <w:r>
              <w:rPr>
                <w:sz w:val="18"/>
              </w:rPr>
              <w:t>Person × Person</w:t>
            </w:r>
          </w:p>
        </w:tc>
        <w:tc>
          <w:tcPr>
            <w:tcW w:type="dxa" w:w="3168"/>
          </w:tcPr>
          <w:p>
            <w:r>
              <w:rPr>
                <w:sz w:val="18"/>
              </w:rPr>
              <w:t>Who does this person communicate with?</w:t>
            </w:r>
          </w:p>
        </w:tc>
        <w:tc>
          <w:tcPr>
            <w:tcW w:type="dxa" w:w="3168"/>
          </w:tcPr>
          <w:p>
            <w:r>
              <w:rPr>
                <w:sz w:val="18"/>
              </w:rPr>
              <w:t>New persistent contact with known intelligence officer</w:t>
            </w:r>
          </w:p>
        </w:tc>
      </w:tr>
      <w:tr>
        <w:tc>
          <w:tcPr>
            <w:tcW w:type="dxa" w:w="1152"/>
            <w:shd w:fill="EAF0F6"/>
          </w:tcPr>
          <w:p>
            <w:r>
              <w:rPr>
                <w:sz w:val="18"/>
              </w:rPr>
              <w:t>Maintenance</w:t>
            </w:r>
          </w:p>
        </w:tc>
        <w:tc>
          <w:tcPr>
            <w:tcW w:type="dxa" w:w="1872"/>
            <w:shd w:fill="EAF0F6"/>
          </w:tcPr>
          <w:p>
            <w:r>
              <w:rPr>
                <w:sz w:val="18"/>
              </w:rPr>
              <w:t>Equipment × Component</w:t>
            </w:r>
          </w:p>
        </w:tc>
        <w:tc>
          <w:tcPr>
            <w:tcW w:type="dxa" w:w="3168"/>
            <w:shd w:fill="EAF0F6"/>
          </w:tcPr>
          <w:p>
            <w:r>
              <w:rPr>
                <w:sz w:val="18"/>
              </w:rPr>
              <w:t>Which components fail on this unit?</w:t>
            </w:r>
          </w:p>
        </w:tc>
        <w:tc>
          <w:tcPr>
            <w:tcW w:type="dxa" w:w="3168"/>
            <w:shd w:fill="EAF0F6"/>
          </w:tcPr>
          <w:p>
            <w:r>
              <w:rPr>
                <w:sz w:val="18"/>
              </w:rPr>
              <w:t>New failure mode appears = design flaw or counterfeit part</w:t>
            </w:r>
          </w:p>
        </w:tc>
      </w:tr>
    </w:tbl>
    <w:p/>
    <w:p>
      <w:pPr>
        <w:pStyle w:val="Heading2"/>
      </w:pPr>
      <w:r>
        <w:rPr>
          <w:color w:val="1B4F72"/>
        </w:rPr>
        <w:t>3.6. Network — Graph-Level Ecosystem Intelligence</w:t>
      </w:r>
    </w:p>
    <w:p>
      <w:pPr>
        <w:spacing w:after="120"/>
      </w:pPr>
      <w:r>
        <w:rPr>
          <w:b w:val="0"/>
          <w:i w:val="0"/>
          <w:color w:val="000000"/>
          <w:sz w:val="21"/>
        </w:rPr>
        <w:t>The network dimension extends pairwise relationships into a full graph. This enables multi-hop analysis that no individual or pairwise view can provide.</w:t>
      </w:r>
    </w:p>
    <w:p>
      <w:pPr>
        <w:pStyle w:val="ListBullet"/>
        <w:ind w:left="360"/>
      </w:pPr>
      <w:r>
        <w:rPr>
          <w:b/>
          <w:sz w:val="21"/>
        </w:rPr>
        <w:t xml:space="preserve">Multi-hop risk propagation: </w:t>
      </w:r>
      <w:r>
        <w:rPr>
          <w:sz w:val="21"/>
        </w:rPr>
        <w:t>A Tier-1 supplier passes all compliance checks. But trace the graph: their Tier-2 subcomponent supplier sources from a Tier-3 manufacturer with Chinese military connections. The individual entity is clean. The 3-hop supply chain path reveals the risk.</w:t>
      </w:r>
    </w:p>
    <w:p>
      <w:pPr>
        <w:pStyle w:val="ListBullet"/>
        <w:ind w:left="360"/>
      </w:pPr>
      <w:r>
        <w:rPr>
          <w:b/>
          <w:sz w:val="21"/>
        </w:rPr>
        <w:t xml:space="preserve">Hidden common dependencies: </w:t>
      </w:r>
      <w:r>
        <w:rPr>
          <w:sz w:val="21"/>
        </w:rPr>
        <w:t>Two 'independent' suppliers develop correlated delivery failures. Graph analysis reveals they share a common sub-tier component source — a single point of failure masked by apparent supplier diversity.</w:t>
      </w:r>
    </w:p>
    <w:p>
      <w:pPr>
        <w:pStyle w:val="ListBullet"/>
        <w:ind w:left="360"/>
      </w:pPr>
      <w:r>
        <w:rPr>
          <w:b/>
          <w:sz w:val="21"/>
        </w:rPr>
        <w:t xml:space="preserve">Influence propagation: </w:t>
      </w:r>
      <w:r>
        <w:rPr>
          <w:sz w:val="21"/>
        </w:rPr>
        <w:t>When one entity's behavior changes, how does it affect connected entities? A supplier failure propagates through the network to affect mission readiness at specific locations. Graph-level analysis predicts the cascade before it materializes.</w:t>
      </w:r>
    </w:p>
    <w:p>
      <w:pPr>
        <w:pStyle w:val="ListBullet"/>
        <w:ind w:left="360"/>
      </w:pPr>
      <w:r>
        <w:rPr>
          <w:b/>
          <w:sz w:val="21"/>
        </w:rPr>
        <w:t xml:space="preserve">Cohort correlation: </w:t>
      </w:r>
      <w:r>
        <w:rPr>
          <w:sz w:val="21"/>
        </w:rPr>
        <w:t>Are entities that should be independent actually behaving as a coordinated group? In healthcare: multiple 'independent' providers with correlated billing patterns = kickback ring. In finance: multiple accounts with synchronized transaction timing = structuring.</w:t>
      </w:r>
    </w:p>
    <w:p>
      <w:pPr>
        <w:pStyle w:val="Heading2"/>
      </w:pPr>
      <w:r>
        <w:rPr>
          <w:color w:val="1B4F72"/>
        </w:rPr>
        <w:t>3.7. Sequence — Order of Operations</w:t>
      </w:r>
    </w:p>
    <w:p>
      <w:pPr>
        <w:spacing w:after="120"/>
      </w:pPr>
      <w:r>
        <w:rPr>
          <w:b w:val="0"/>
          <w:i w:val="0"/>
          <w:color w:val="000000"/>
          <w:sz w:val="21"/>
        </w:rPr>
        <w:t>The sequence dimension captures not just WHAT events occur but in what ORDER. Many anomalies are invisible to frequency-based analysis but obvious in sequential analysis:</w:t>
      </w:r>
    </w:p>
    <w:p>
      <w:pPr>
        <w:pStyle w:val="ListBullet"/>
        <w:ind w:left="360"/>
      </w:pPr>
      <w:r>
        <w:rPr>
          <w:b/>
          <w:sz w:val="21"/>
        </w:rPr>
        <w:t xml:space="preserve">Supply chain: </w:t>
      </w:r>
      <w:r>
        <w:rPr>
          <w:sz w:val="21"/>
        </w:rPr>
        <w:t>Order → Ship → Inspect → Accept is normal. Order → Accept (skipping inspection) is a sequence anomaly — potential collusion between buyer and supplier to bypass quality controls.</w:t>
      </w:r>
    </w:p>
    <w:p>
      <w:pPr>
        <w:pStyle w:val="ListBullet"/>
        <w:ind w:left="360"/>
      </w:pPr>
      <w:r>
        <w:rPr>
          <w:b/>
          <w:sz w:val="21"/>
        </w:rPr>
        <w:t xml:space="preserve">Cybersecurity: </w:t>
      </w:r>
      <w:r>
        <w:rPr>
          <w:sz w:val="21"/>
        </w:rPr>
        <w:t>Reconnaissance → Initial Access → Execution → Persistence → Exfiltration follows the MITRE ATT&amp;CK kill chain. Detecting progression through stages is more actionable than detecting individual events.</w:t>
      </w:r>
    </w:p>
    <w:p>
      <w:pPr>
        <w:pStyle w:val="ListBullet"/>
        <w:ind w:left="360"/>
      </w:pPr>
      <w:r>
        <w:rPr>
          <w:b/>
          <w:sz w:val="21"/>
        </w:rPr>
        <w:t xml:space="preserve">Healthcare: </w:t>
      </w:r>
      <w:r>
        <w:rPr>
          <w:sz w:val="21"/>
        </w:rPr>
        <w:t>Diagnosis → Treatment → Follow-up is normal. Treatment → Diagnosis (retroactive coding to justify treatment already delivered) is a billing fraud sequence signature.</w:t>
      </w:r>
    </w:p>
    <w:p>
      <w:pPr>
        <w:pStyle w:val="ListBullet"/>
        <w:ind w:left="360"/>
      </w:pPr>
      <w:r>
        <w:rPr>
          <w:b/>
          <w:sz w:val="21"/>
        </w:rPr>
        <w:t xml:space="preserve">Money laundering: </w:t>
      </w:r>
      <w:r>
        <w:rPr>
          <w:sz w:val="21"/>
        </w:rPr>
        <w:t>Placement (cash entry) → Layering (transfer chain) → Integration (legitimate-appearing investment) follows a known stage progression. Each individual transaction looks legitimate; the sequence reveals the scheme.</w:t>
      </w:r>
    </w:p>
    <w:p>
      <w:pPr>
        <w:pStyle w:val="Heading2"/>
      </w:pPr>
      <w:r>
        <w:rPr>
          <w:color w:val="1B4F72"/>
        </w:rPr>
        <w:t>3.8. Periodicity — Rhythm and Cadence</w:t>
      </w:r>
    </w:p>
    <w:p>
      <w:pPr>
        <w:spacing w:after="120"/>
      </w:pPr>
      <w:r>
        <w:rPr>
          <w:b w:val="0"/>
          <w:i w:val="0"/>
          <w:color w:val="000000"/>
          <w:sz w:val="21"/>
        </w:rPr>
        <w:t>Entities exhibit regular rhythms — daily work patterns, weekly delivery schedules, monthly billing cycles, seasonal demand curves. Deviation from established periodicity is a powerful anomaly signal:</w:t>
      </w:r>
    </w:p>
    <w:p>
      <w:pPr>
        <w:pStyle w:val="ListBullet"/>
        <w:ind w:left="360"/>
      </w:pPr>
      <w:r>
        <w:rPr>
          <w:b/>
          <w:sz w:val="21"/>
        </w:rPr>
        <w:t xml:space="preserve">C2 beaconing: </w:t>
      </w:r>
      <w:r>
        <w:rPr>
          <w:sz w:val="21"/>
        </w:rPr>
        <w:t>C2 beacon malware contacts its server every 6 hours with clockwork regularity. Normal DNS queries are aperiodic. The RHYTHM is the detection signal, not the volume.</w:t>
      </w:r>
    </w:p>
    <w:p>
      <w:pPr>
        <w:pStyle w:val="ListBullet"/>
        <w:ind w:left="360"/>
      </w:pPr>
      <w:r>
        <w:rPr>
          <w:b/>
          <w:sz w:val="21"/>
        </w:rPr>
        <w:t xml:space="preserve">Equipment degradation: </w:t>
      </w:r>
      <w:r>
        <w:rPr>
          <w:sz w:val="21"/>
        </w:rPr>
        <w:t>An equipment unit's vibration frequency shifts from its established oscillation pattern — bearing degradation changes the mechanical rhythm before any absolute threshold is exceeded.</w:t>
      </w:r>
    </w:p>
    <w:p>
      <w:pPr>
        <w:pStyle w:val="ListBullet"/>
        <w:ind w:left="360"/>
      </w:pPr>
      <w:r>
        <w:rPr>
          <w:b/>
          <w:sz w:val="21"/>
        </w:rPr>
        <w:t xml:space="preserve">Trafficking patterns: </w:t>
      </w:r>
      <w:r>
        <w:rPr>
          <w:sz w:val="21"/>
        </w:rPr>
        <w:t>A drug trafficking network ships on a 3-week cycle aligned with production harvests. Detecting the cadence and predicting the next shipment window enables interdiction planning.</w:t>
      </w:r>
    </w:p>
    <w:p>
      <w:pPr>
        <w:pStyle w:val="Heading2"/>
      </w:pPr>
      <w:r>
        <w:rPr>
          <w:color w:val="1B4F72"/>
        </w:rPr>
        <w:t>3.9. Context — Environmental Meaning</w:t>
      </w:r>
    </w:p>
    <w:p>
      <w:pPr>
        <w:spacing w:after="120"/>
      </w:pPr>
      <w:r>
        <w:rPr>
          <w:b w:val="0"/>
          <w:i w:val="0"/>
          <w:color w:val="000000"/>
          <w:sz w:val="21"/>
        </w:rPr>
        <w:t>The same behavior carries different meaning in different contexts. Context-adaptive analysis applies multiple analytical lenses to the same behavioral data and identifies entities that score anomalous under specific threat scenarios:</w:t>
      </w:r>
    </w:p>
    <w:p>
      <w:pPr>
        <w:pStyle w:val="ListBullet"/>
        <w:ind w:left="360"/>
      </w:pPr>
      <w:r>
        <w:rPr>
          <w:b/>
          <w:sz w:val="21"/>
        </w:rPr>
        <w:t xml:space="preserve">Multi-context scoring: </w:t>
      </w:r>
      <w:r>
        <w:rPr>
          <w:sz w:val="21"/>
        </w:rPr>
        <w:t>Under an 'insider investigation' lens, data access patterns are weighted heavily. Under an 'APT hunt' lens, network footprint dominates. A user who scores high under the insider lens but normal under APT hunt is likely an insider, not an external compromise.</w:t>
      </w:r>
    </w:p>
    <w:p>
      <w:pPr>
        <w:pStyle w:val="ListBullet"/>
        <w:ind w:left="360"/>
      </w:pPr>
      <w:r>
        <w:rPr>
          <w:b/>
          <w:sz w:val="21"/>
        </w:rPr>
        <w:t xml:space="preserve">Operational tempo: </w:t>
      </w:r>
      <w:r>
        <w:rPr>
          <w:sz w:val="21"/>
        </w:rPr>
        <w:t>Demand spike during deployment preparation is expected; during peacetime drawdown is anomalous. The same volume change has opposite interpretations depending on operational context.</w:t>
      </w:r>
    </w:p>
    <w:p>
      <w:r>
        <w:br w:type="page"/>
      </w:r>
    </w:p>
    <w:p>
      <w:pPr>
        <w:pStyle w:val="Heading1"/>
      </w:pPr>
      <w:r>
        <w:rPr>
          <w:color w:val="0D1B2A"/>
        </w:rPr>
        <w:t>4. Three-Layer Architecture</w:t>
      </w:r>
    </w:p>
    <w:p>
      <w:pPr>
        <w:jc w:val="center"/>
      </w:pPr>
      <w:r>
        <w:drawing>
          <wp:inline xmlns:a="http://schemas.openxmlformats.org/drawingml/2006/main" xmlns:pic="http://schemas.openxmlformats.org/drawingml/2006/picture">
            <wp:extent cx="5486400" cy="2414245"/>
            <wp:docPr id="2" name="Picture 2"/>
            <wp:cNvGraphicFramePr>
              <a:graphicFrameLocks noChangeAspect="1"/>
            </wp:cNvGraphicFramePr>
            <a:graphic>
              <a:graphicData uri="http://schemas.openxmlformats.org/drawingml/2006/picture">
                <pic:pic>
                  <pic:nvPicPr>
                    <pic:cNvPr id="0" name="fig_bei_layers.png"/>
                    <pic:cNvPicPr/>
                  </pic:nvPicPr>
                  <pic:blipFill>
                    <a:blip r:embed="rId10"/>
                    <a:stretch>
                      <a:fillRect/>
                    </a:stretch>
                  </pic:blipFill>
                  <pic:spPr>
                    <a:xfrm>
                      <a:off x="0" y="0"/>
                      <a:ext cx="5486400" cy="2414245"/>
                    </a:xfrm>
                    <a:prstGeom prst="rect"/>
                  </pic:spPr>
                </pic:pic>
              </a:graphicData>
            </a:graphic>
          </wp:inline>
        </w:drawing>
      </w:r>
    </w:p>
    <w:p>
      <w:pPr>
        <w:spacing w:after="160"/>
        <w:jc w:val="center"/>
      </w:pPr>
      <w:r>
        <w:rPr>
          <w:i/>
          <w:color w:val="444444"/>
          <w:sz w:val="18"/>
        </w:rPr>
        <w:t>Figure 2 — The three analytical layers: entity profiles, pairwise relationship dynamics, and graph-level network intelligence — each detectable independently.</w:t>
      </w:r>
    </w:p>
    <w:p>
      <w:pPr>
        <w:spacing w:after="120"/>
      </w:pPr>
      <w:r>
        <w:rPr>
          <w:b w:val="0"/>
          <w:i w:val="0"/>
          <w:color w:val="000000"/>
          <w:sz w:val="21"/>
        </w:rPr>
        <w:t>BEI organizes analysis into three layers of increasing sophistication. Each layer builds on the one below it, and anomalies can be detected at any layer independently.</w:t>
      </w:r>
    </w:p>
    <w:p>
      <w:pPr>
        <w:pStyle w:val="Heading2"/>
      </w:pPr>
      <w:r>
        <w:rPr>
          <w:color w:val="1B4F72"/>
        </w:rPr>
        <w:t>4.1. Layer 1: Entity Behavioral Profiles</w:t>
      </w:r>
    </w:p>
    <w:p>
      <w:pPr>
        <w:spacing w:after="120"/>
      </w:pPr>
      <w:r>
        <w:rPr>
          <w:b w:val="0"/>
          <w:i w:val="0"/>
          <w:color w:val="000000"/>
          <w:sz w:val="21"/>
        </w:rPr>
        <w:t>Each entity is represented as a multi-zone behavioral profile captured at regular intervals. For each observation period, the entity's behavioral state is serialized into a structured description and converted into a high-dimensional representation that captures the MEANING of the behavior, not just the magnitude of individual metrics. Drift between consecutive periods is measured as directional change in this semantic space.</w:t>
      </w:r>
    </w:p>
    <w:p>
      <w:pPr>
        <w:spacing w:after="120"/>
      </w:pPr>
      <w:r>
        <w:rPr>
          <w:b w:val="0"/>
          <w:i w:val="0"/>
          <w:color w:val="000000"/>
          <w:sz w:val="21"/>
        </w:rPr>
        <w:t>Concretely, every entity is assembled into a structured, multi-dimensional snapshot — a JSON-like object whose top-level slots are DIMENSIONS (zones), each holding SUB-DIMENSIONS (features), captured as a TIME SERIES. The same shape instantiates in every domain by changing only the zone definitions and what is serialized:</w:t>
      </w:r>
    </w:p>
    <w:p>
      <w:pPr>
        <w:spacing w:before="80" w:after="80"/>
        <w:ind w:left="360"/>
      </w:pPr>
      <w:r>
        <w:rPr>
          <w:rFonts w:ascii="Consolas" w:hAnsi="Consolas"/>
          <w:color w:val="333333"/>
          <w:sz w:val="18"/>
        </w:rPr>
        <w:t>entity = "&lt;type&gt;/&lt;id&gt;"            # one snapshot at time t</w:t>
        <w:br/>
        <w:t>EntitySnapshot = {</w:t>
        <w:br/>
        <w:t xml:space="preserve">  identity:    { static attributes — role/type, class, registration, criticality },</w:t>
        <w:br/>
        <w:t xml:space="preserve">  behavior:    { zone_1: {sub-dims}, zone_2: {sub-dims}, ... },   # domain-specific zones</w:t>
        <w:br/>
        <w:t xml:space="preserve">  space:       { geographic / network / topological position },</w:t>
        <w:br/>
        <w:t xml:space="preserve">  embeddings:  { zone: [k x 1536], composite: [1536], context: [...] },</w:t>
        <w:br/>
        <w:t xml:space="preserve">  texts:       { serialized prose per zone }     # audit trail</w:t>
        <w:br/>
        <w:t>}</w:t>
        <w:br/>
        <w:t># stored as a TIME SERIES of snapshots  -&gt;  trajectory (velocity, drift, regime)</w:t>
      </w:r>
    </w:p>
    <w:p>
      <w:pPr>
        <w:spacing w:after="120"/>
      </w:pPr>
      <w:r>
        <w:rPr>
          <w:b w:val="0"/>
          <w:i w:val="0"/>
          <w:color w:val="000000"/>
          <w:sz w:val="21"/>
        </w:rPr>
        <w:t>For a cyber user the zones are identity / access / data / network / risk; for a supplier they are identity / performance / geographic / network / risk; for a patient, equipment, or account they are the domain's natural decomposition (Section 3.2). The cadence is the domain's natural period — weekly for users, monthly for suppliers and equipment — so every entity is a sequence of embeddings whose trajectory the three layers read.</w:t>
      </w:r>
    </w:p>
    <w:p>
      <w:pPr>
        <w:pStyle w:val="Heading2"/>
      </w:pPr>
      <w:r>
        <w:rPr>
          <w:color w:val="1B4F72"/>
        </w:rPr>
        <w:t>4.2. Layer 2: Relationship Behavioral Profiles</w:t>
      </w:r>
    </w:p>
    <w:p>
      <w:pPr>
        <w:spacing w:after="120"/>
      </w:pPr>
      <w:r>
        <w:rPr>
          <w:b w:val="0"/>
          <w:i w:val="0"/>
          <w:color w:val="000000"/>
          <w:sz w:val="21"/>
        </w:rPr>
        <w:t>For each meaningful pair of entities, a relationship profile is computed as the interaction-specific behavioral signature. This captures HOW two entities behave together — patterns that are invisible when analyzing either entity in isolation. Relationship drift is tracked over time independently of individual entity drift.</w:t>
      </w:r>
    </w:p>
    <w:p>
      <w:pPr>
        <w:spacing w:after="120"/>
      </w:pPr>
      <w:r>
        <w:rPr>
          <w:b w:val="0"/>
          <w:i w:val="0"/>
          <w:color w:val="000000"/>
          <w:sz w:val="21"/>
        </w:rPr>
        <w:t>A critical design principle: the relationship profile is not simply the concatenation or average of two entity profiles. It is a distinct representation that captures the interaction pattern itself. Two entities with individually stable profiles can have a dramatically drifting relationship — this is the primary detection signal for supply chain substitution, credential sharing, and referral fraud.</w:t>
      </w:r>
    </w:p>
    <w:p>
      <w:pPr>
        <w:pStyle w:val="Heading2"/>
      </w:pPr>
      <w:r>
        <w:rPr>
          <w:color w:val="1B4F72"/>
        </w:rPr>
        <w:t>4.3. Layer 3: Network Intelligence</w:t>
      </w:r>
    </w:p>
    <w:p>
      <w:pPr>
        <w:spacing w:after="120"/>
      </w:pPr>
      <w:r>
        <w:rPr>
          <w:b w:val="0"/>
          <w:i w:val="0"/>
          <w:color w:val="000000"/>
          <w:sz w:val="21"/>
        </w:rPr>
        <w:t>The network layer analyzes the full graph of entity relationships, enabling multi-hop risk propagation, hidden dependency discovery, influence cascade prediction, and coordinated behavior detection. Network-level anomalies are often the highest-value findings because they reveal systemic risks invisible to entity-level or relationship-level analysis.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Layer</w:t>
            </w:r>
          </w:p>
        </w:tc>
        <w:tc>
          <w:tcPr>
            <w:tcW w:type="dxa" w:w="2160"/>
            <w:shd w:fill="0D1B2A"/>
          </w:tcPr>
          <w:p>
            <w:pPr>
              <w:jc w:val="center"/>
            </w:pPr>
            <w:r>
              <w:rPr>
                <w:b/>
                <w:color w:val="FFFFFF"/>
                <w:sz w:val="18"/>
              </w:rPr>
              <w:t>Analyzes</w:t>
            </w:r>
          </w:p>
        </w:tc>
        <w:tc>
          <w:tcPr>
            <w:tcW w:type="dxa" w:w="2880"/>
            <w:shd w:fill="0D1B2A"/>
          </w:tcPr>
          <w:p>
            <w:pPr>
              <w:jc w:val="center"/>
            </w:pPr>
            <w:r>
              <w:rPr>
                <w:b/>
                <w:color w:val="FFFFFF"/>
                <w:sz w:val="18"/>
              </w:rPr>
              <w:t>Detection Signal</w:t>
            </w:r>
          </w:p>
        </w:tc>
        <w:tc>
          <w:tcPr>
            <w:tcW w:type="dxa" w:w="2880"/>
            <w:shd w:fill="0D1B2A"/>
          </w:tcPr>
          <w:p>
            <w:pPr>
              <w:jc w:val="center"/>
            </w:pPr>
            <w:r>
              <w:rPr>
                <w:b/>
                <w:color w:val="FFFFFF"/>
                <w:sz w:val="18"/>
              </w:rPr>
              <w:t>Example</w:t>
            </w:r>
          </w:p>
        </w:tc>
      </w:tr>
      <w:tr>
        <w:tc>
          <w:tcPr>
            <w:tcW w:type="dxa" w:w="1440"/>
          </w:tcPr>
          <w:p>
            <w:r>
              <w:rPr>
                <w:sz w:val="18"/>
              </w:rPr>
              <w:t>1. Entity</w:t>
            </w:r>
          </w:p>
        </w:tc>
        <w:tc>
          <w:tcPr>
            <w:tcW w:type="dxa" w:w="2160"/>
          </w:tcPr>
          <w:p>
            <w:r>
              <w:rPr>
                <w:sz w:val="18"/>
              </w:rPr>
              <w:t>Individual behavioral profiles</w:t>
            </w:r>
          </w:p>
        </w:tc>
        <w:tc>
          <w:tcPr>
            <w:tcW w:type="dxa" w:w="2880"/>
          </w:tcPr>
          <w:p>
            <w:r>
              <w:rPr>
                <w:sz w:val="18"/>
              </w:rPr>
              <w:t>Single entity drifts from its baseline</w:t>
            </w:r>
          </w:p>
        </w:tc>
        <w:tc>
          <w:tcPr>
            <w:tcW w:type="dxa" w:w="2880"/>
          </w:tcPr>
          <w:p>
            <w:r>
              <w:rPr>
                <w:sz w:val="18"/>
              </w:rPr>
              <w:t>User's data access pattern shifts from public to restricted files</w:t>
            </w:r>
          </w:p>
        </w:tc>
      </w:tr>
      <w:tr>
        <w:tc>
          <w:tcPr>
            <w:tcW w:type="dxa" w:w="1440"/>
            <w:shd w:fill="EAF0F6"/>
          </w:tcPr>
          <w:p>
            <w:r>
              <w:rPr>
                <w:sz w:val="18"/>
              </w:rPr>
              <w:t>2. Relationship</w:t>
            </w:r>
          </w:p>
        </w:tc>
        <w:tc>
          <w:tcPr>
            <w:tcW w:type="dxa" w:w="2160"/>
            <w:shd w:fill="EAF0F6"/>
          </w:tcPr>
          <w:p>
            <w:r>
              <w:rPr>
                <w:sz w:val="18"/>
              </w:rPr>
              <w:t>Pairwise interaction dynamics</w:t>
            </w:r>
          </w:p>
        </w:tc>
        <w:tc>
          <w:tcPr>
            <w:tcW w:type="dxa" w:w="2880"/>
            <w:shd w:fill="EAF0F6"/>
          </w:tcPr>
          <w:p>
            <w:r>
              <w:rPr>
                <w:sz w:val="18"/>
              </w:rPr>
              <w:t>Relationship drifts while individuals look stable</w:t>
            </w:r>
          </w:p>
        </w:tc>
        <w:tc>
          <w:tcPr>
            <w:tcW w:type="dxa" w:w="2880"/>
            <w:shd w:fill="EAF0F6"/>
          </w:tcPr>
          <w:p>
            <w:r>
              <w:rPr>
                <w:sz w:val="18"/>
              </w:rPr>
              <w:t>Supplier's quality for ONE specific part degrades while others stable</w:t>
            </w:r>
          </w:p>
        </w:tc>
      </w:tr>
      <w:tr>
        <w:tc>
          <w:tcPr>
            <w:tcW w:type="dxa" w:w="1440"/>
          </w:tcPr>
          <w:p>
            <w:r>
              <w:rPr>
                <w:sz w:val="18"/>
              </w:rPr>
              <w:t>3. Network</w:t>
            </w:r>
          </w:p>
        </w:tc>
        <w:tc>
          <w:tcPr>
            <w:tcW w:type="dxa" w:w="2160"/>
          </w:tcPr>
          <w:p>
            <w:r>
              <w:rPr>
                <w:sz w:val="18"/>
              </w:rPr>
              <w:t>Graph-level ecosystem patterns</w:t>
            </w:r>
          </w:p>
        </w:tc>
        <w:tc>
          <w:tcPr>
            <w:tcW w:type="dxa" w:w="2880"/>
          </w:tcPr>
          <w:p>
            <w:r>
              <w:rPr>
                <w:sz w:val="18"/>
              </w:rPr>
              <w:t>Multi-hop risk chains, coordinated behavior</w:t>
            </w:r>
          </w:p>
        </w:tc>
        <w:tc>
          <w:tcPr>
            <w:tcW w:type="dxa" w:w="2880"/>
          </w:tcPr>
          <w:p>
            <w:r>
              <w:rPr>
                <w:sz w:val="18"/>
              </w:rPr>
              <w:t>Tier-3 manufacturer in adversary nation connected through 2 intermediaries</w:t>
            </w:r>
          </w:p>
        </w:tc>
      </w:tr>
    </w:tbl>
    <w:p/>
    <w:p>
      <w:pPr>
        <w:pStyle w:val="Heading2"/>
      </w:pPr>
      <w:r>
        <w:rPr>
          <w:color w:val="1B4F72"/>
        </w:rPr>
        <w:t>4.4. Peer-Cohort Baselining — Self vs. Cohort</w:t>
      </w:r>
    </w:p>
    <w:p>
      <w:pPr>
        <w:spacing w:after="120"/>
      </w:pPr>
      <w:r>
        <w:rPr>
          <w:b w:val="0"/>
          <w:i w:val="0"/>
          <w:color w:val="000000"/>
          <w:sz w:val="21"/>
        </w:rPr>
        <w:t>A behavioral value is anomalous only in relation to a comparison. BEI uses two comparisons for every entity, and an entity that fails both is a high-confidence finding:</w:t>
      </w:r>
    </w:p>
    <w:p>
      <w:pPr>
        <w:pStyle w:val="ListBullet"/>
        <w:ind w:left="360"/>
      </w:pPr>
      <w:r>
        <w:rPr>
          <w:b/>
          <w:sz w:val="21"/>
        </w:rPr>
        <w:t xml:space="preserve">Self-baseline: </w:t>
      </w:r>
      <w:r>
        <w:rPr>
          <w:sz w:val="21"/>
        </w:rPr>
        <w:t>How does the entity compare to its OWN history? This is the temporal (Time) baseline — drift from the entity's established pattern.</w:t>
      </w:r>
    </w:p>
    <w:p>
      <w:pPr>
        <w:pStyle w:val="ListBullet"/>
        <w:ind w:left="360"/>
      </w:pPr>
      <w:r>
        <w:rPr>
          <w:b/>
          <w:sz w:val="21"/>
        </w:rPr>
        <w:t xml:space="preserve">Cohort baseline: </w:t>
      </w:r>
      <w:r>
        <w:rPr>
          <w:sz w:val="21"/>
        </w:rPr>
        <w:t>How does the entity compare to OTHER entities like it? This is the peer-cohort baseline — drift relative to the normal behavior of a group of comparable entities.</w:t>
      </w:r>
    </w:p>
    <w:p>
      <w:pPr>
        <w:spacing w:after="120"/>
      </w:pPr>
      <w:r>
        <w:rPr>
          <w:b w:val="0"/>
          <w:i w:val="0"/>
          <w:color w:val="000000"/>
          <w:sz w:val="21"/>
        </w:rPr>
        <w:t>Cohorts are formed from the stable attributes of the Identity dimension (Section 3.1): entities are grouped so that members are expected to behave alike, and each entity's drift is then scored relative to the normal members of its own cohort rather than the population at large. A behavior that is unremarkable for one cohort can be a strong signal for another — an action normal for a system administrator is alarming for an accountant; a multinational sourcing footprint normal for a semiconductor supplier is alarming for a domestic fastener manufacturer. Scoring against the wrong reference group hides the signal; scoring against the right cohort exposes it.</w:t>
      </w:r>
    </w:p>
    <w:p>
      <w:pPr>
        <w:pBdr>
          <w:left w:val="single" w:sz="24" w:space="12" w:color="0E6B8A"/>
        </w:pBdr>
        <w:shd w:fill="EAF4F7" w:val="clear"/>
        <w:spacing w:before="160" w:after="160"/>
      </w:pPr>
      <w:r>
        <w:rPr>
          <w:b/>
          <w:color w:val="0D1B2A"/>
          <w:sz w:val="21"/>
        </w:rPr>
        <w:t>Two baselines, one verdict. Self-baseline asks 'is this entity behaving like it used to?' Cohort baseline asks 'is this entity behaving like its peers?' An entity drifting from BOTH its own history and its cohort is the strongest anomaly signal the framework produces.</w:t>
      </w:r>
    </w:p>
    <w:p>
      <w:pPr>
        <w:spacing w:after="120"/>
      </w:pPr>
      <w:r>
        <w:rPr>
          <w:b w:val="0"/>
          <w:i w:val="0"/>
          <w:color w:val="000000"/>
          <w:sz w:val="21"/>
        </w:rPr>
        <w:t>Peer-cohort baselining is not a proposal — it is the mechanism already operating in the cybersecurity proof of concept, where users are segmented into role groups (administrator, security, developer, business, executive) and each user's drift is scored relative to the normal baseline of its group. The same construct applies to every domain by changing only how cohorts are defined:</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Domain</w:t>
            </w:r>
          </w:p>
        </w:tc>
        <w:tc>
          <w:tcPr>
            <w:tcW w:type="dxa" w:w="1728"/>
            <w:shd w:fill="0D1B2A"/>
          </w:tcPr>
          <w:p>
            <w:pPr>
              <w:jc w:val="center"/>
            </w:pPr>
            <w:r>
              <w:rPr>
                <w:b/>
                <w:color w:val="FFFFFF"/>
                <w:sz w:val="18"/>
              </w:rPr>
              <w:t>Entity</w:t>
            </w:r>
          </w:p>
        </w:tc>
        <w:tc>
          <w:tcPr>
            <w:tcW w:type="dxa" w:w="5904"/>
            <w:shd w:fill="0D1B2A"/>
          </w:tcPr>
          <w:p>
            <w:pPr>
              <w:jc w:val="center"/>
            </w:pPr>
            <w:r>
              <w:rPr>
                <w:b/>
                <w:color w:val="FFFFFF"/>
                <w:sz w:val="18"/>
              </w:rPr>
              <w:t>Cohort Defined By</w:t>
            </w:r>
          </w:p>
        </w:tc>
      </w:tr>
      <w:tr>
        <w:tc>
          <w:tcPr>
            <w:tcW w:type="dxa" w:w="1728"/>
          </w:tcPr>
          <w:p>
            <w:r>
              <w:rPr>
                <w:sz w:val="18"/>
              </w:rPr>
              <w:t>Cybersecurity</w:t>
            </w:r>
          </w:p>
        </w:tc>
        <w:tc>
          <w:tcPr>
            <w:tcW w:type="dxa" w:w="1728"/>
          </w:tcPr>
          <w:p>
            <w:r>
              <w:rPr>
                <w:sz w:val="18"/>
              </w:rPr>
              <w:t>User</w:t>
            </w:r>
          </w:p>
        </w:tc>
        <w:tc>
          <w:tcPr>
            <w:tcW w:type="dxa" w:w="5904"/>
          </w:tcPr>
          <w:p>
            <w:r>
              <w:rPr>
                <w:sz w:val="18"/>
              </w:rPr>
              <w:t>Role group: admin, security, developer, business, executive</w:t>
            </w:r>
          </w:p>
        </w:tc>
      </w:tr>
      <w:tr>
        <w:tc>
          <w:tcPr>
            <w:tcW w:type="dxa" w:w="1728"/>
            <w:shd w:fill="EAF0F6"/>
          </w:tcPr>
          <w:p>
            <w:r>
              <w:rPr>
                <w:sz w:val="18"/>
              </w:rPr>
              <w:t>Supply Chain</w:t>
            </w:r>
          </w:p>
        </w:tc>
        <w:tc>
          <w:tcPr>
            <w:tcW w:type="dxa" w:w="1728"/>
            <w:shd w:fill="EAF0F6"/>
          </w:tcPr>
          <w:p>
            <w:r>
              <w:rPr>
                <w:sz w:val="18"/>
              </w:rPr>
              <w:t>Supplier</w:t>
            </w:r>
          </w:p>
        </w:tc>
        <w:tc>
          <w:tcPr>
            <w:tcW w:type="dxa" w:w="5904"/>
            <w:shd w:fill="EAF0F6"/>
          </w:tcPr>
          <w:p>
            <w:r>
              <w:rPr>
                <w:sz w:val="18"/>
              </w:rPr>
              <w:t>Commodity / Federal Supply Class, geography, criticality, tier</w:t>
            </w:r>
          </w:p>
        </w:tc>
      </w:tr>
      <w:tr>
        <w:tc>
          <w:tcPr>
            <w:tcW w:type="dxa" w:w="1728"/>
          </w:tcPr>
          <w:p>
            <w:r>
              <w:rPr>
                <w:sz w:val="18"/>
              </w:rPr>
              <w:t>Healthcare</w:t>
            </w:r>
          </w:p>
        </w:tc>
        <w:tc>
          <w:tcPr>
            <w:tcW w:type="dxa" w:w="1728"/>
          </w:tcPr>
          <w:p>
            <w:r>
              <w:rPr>
                <w:sz w:val="18"/>
              </w:rPr>
              <w:t>Provider</w:t>
            </w:r>
          </w:p>
        </w:tc>
        <w:tc>
          <w:tcPr>
            <w:tcW w:type="dxa" w:w="5904"/>
          </w:tcPr>
          <w:p>
            <w:r>
              <w:rPr>
                <w:sz w:val="18"/>
              </w:rPr>
              <w:t>Specialty, practice size, region, patient-population mix</w:t>
            </w:r>
          </w:p>
        </w:tc>
      </w:tr>
      <w:tr>
        <w:tc>
          <w:tcPr>
            <w:tcW w:type="dxa" w:w="1728"/>
            <w:shd w:fill="EAF0F6"/>
          </w:tcPr>
          <w:p>
            <w:r>
              <w:rPr>
                <w:sz w:val="18"/>
              </w:rPr>
              <w:t>Finance / AML</w:t>
            </w:r>
          </w:p>
        </w:tc>
        <w:tc>
          <w:tcPr>
            <w:tcW w:type="dxa" w:w="1728"/>
            <w:shd w:fill="EAF0F6"/>
          </w:tcPr>
          <w:p>
            <w:r>
              <w:rPr>
                <w:sz w:val="18"/>
              </w:rPr>
              <w:t>Account</w:t>
            </w:r>
          </w:p>
        </w:tc>
        <w:tc>
          <w:tcPr>
            <w:tcW w:type="dxa" w:w="5904"/>
            <w:shd w:fill="EAF0F6"/>
          </w:tcPr>
          <w:p>
            <w:r>
              <w:rPr>
                <w:sz w:val="18"/>
              </w:rPr>
              <w:t>Product type, customer segment, jurisdiction, expected activity band</w:t>
            </w:r>
          </w:p>
        </w:tc>
      </w:tr>
      <w:tr>
        <w:tc>
          <w:tcPr>
            <w:tcW w:type="dxa" w:w="1728"/>
          </w:tcPr>
          <w:p>
            <w:r>
              <w:rPr>
                <w:sz w:val="18"/>
              </w:rPr>
              <w:t>Maintenance</w:t>
            </w:r>
          </w:p>
        </w:tc>
        <w:tc>
          <w:tcPr>
            <w:tcW w:type="dxa" w:w="1728"/>
          </w:tcPr>
          <w:p>
            <w:r>
              <w:rPr>
                <w:sz w:val="18"/>
              </w:rPr>
              <w:t>Equipment</w:t>
            </w:r>
          </w:p>
        </w:tc>
        <w:tc>
          <w:tcPr>
            <w:tcW w:type="dxa" w:w="5904"/>
          </w:tcPr>
          <w:p>
            <w:r>
              <w:rPr>
                <w:sz w:val="18"/>
              </w:rPr>
              <w:t>Model, duty class, age band, operating environment</w:t>
            </w:r>
          </w:p>
        </w:tc>
      </w:tr>
      <w:tr>
        <w:tc>
          <w:tcPr>
            <w:tcW w:type="dxa" w:w="1728"/>
            <w:shd w:fill="EAF0F6"/>
          </w:tcPr>
          <w:p>
            <w:r>
              <w:rPr>
                <w:sz w:val="18"/>
              </w:rPr>
              <w:t>Insurance</w:t>
            </w:r>
          </w:p>
        </w:tc>
        <w:tc>
          <w:tcPr>
            <w:tcW w:type="dxa" w:w="1728"/>
            <w:shd w:fill="EAF0F6"/>
          </w:tcPr>
          <w:p>
            <w:r>
              <w:rPr>
                <w:sz w:val="18"/>
              </w:rPr>
              <w:t>Claimant / Vendor</w:t>
            </w:r>
          </w:p>
        </w:tc>
        <w:tc>
          <w:tcPr>
            <w:tcW w:type="dxa" w:w="5904"/>
            <w:shd w:fill="EAF0F6"/>
          </w:tcPr>
          <w:p>
            <w:r>
              <w:rPr>
                <w:sz w:val="18"/>
              </w:rPr>
              <w:t>Policy type, loss category, geography, vendor specialty</w:t>
            </w:r>
          </w:p>
        </w:tc>
      </w:tr>
      <w:tr>
        <w:tc>
          <w:tcPr>
            <w:tcW w:type="dxa" w:w="1728"/>
          </w:tcPr>
          <w:p>
            <w:r>
              <w:rPr>
                <w:sz w:val="18"/>
              </w:rPr>
              <w:t>Counter-Intel</w:t>
            </w:r>
          </w:p>
        </w:tc>
        <w:tc>
          <w:tcPr>
            <w:tcW w:type="dxa" w:w="1728"/>
          </w:tcPr>
          <w:p>
            <w:r>
              <w:rPr>
                <w:sz w:val="18"/>
              </w:rPr>
              <w:t>Person of interest</w:t>
            </w:r>
          </w:p>
        </w:tc>
        <w:tc>
          <w:tcPr>
            <w:tcW w:type="dxa" w:w="5904"/>
          </w:tcPr>
          <w:p>
            <w:r>
              <w:rPr>
                <w:sz w:val="18"/>
              </w:rPr>
              <w:t>Role, access tier, cover function, posting / location</w:t>
            </w:r>
          </w:p>
        </w:tc>
      </w:tr>
    </w:tbl>
    <w:p/>
    <w:p>
      <w:pPr>
        <w:spacing w:after="120"/>
      </w:pPr>
      <w:r>
        <w:rPr>
          <w:b w:val="0"/>
          <w:i w:val="0"/>
          <w:color w:val="000000"/>
          <w:sz w:val="21"/>
        </w:rPr>
        <w:t>Cohort baselining also produces a signal of its own: when many members of a cohort drift together in the same direction, the correlated movement points to a shared cause — a common sub-tier dependency, a market or geopolitical shock, or a coordinated campaign — a cohort-level finding that connects directly to the network-layer cohort-correlation analysis of Section 3.6.</w:t>
      </w:r>
    </w:p>
    <w:p>
      <w:pPr>
        <w:pStyle w:val="Heading2"/>
      </w:pPr>
      <w:r>
        <w:rPr>
          <w:color w:val="1B4F72"/>
        </w:rPr>
        <w:t>4.5. Mathematical Foundations</w:t>
      </w:r>
    </w:p>
    <w:p>
      <w:pPr>
        <w:spacing w:after="120"/>
      </w:pPr>
      <w:r>
        <w:rPr>
          <w:b w:val="0"/>
          <w:i w:val="0"/>
          <w:color w:val="000000"/>
          <w:sz w:val="21"/>
        </w:rPr>
        <w:t>The framework reduces to a compact set of operations in a unified vector space; the same formulas instantiate in every domain by changing only what is serialized into the embedding. The core operators:</w:t>
      </w:r>
    </w:p>
    <w:p>
      <w:pPr>
        <w:spacing w:before="80" w:after="80"/>
        <w:ind w:left="360"/>
      </w:pPr>
      <w:r>
        <w:rPr>
          <w:rFonts w:ascii="Consolas" w:hAnsi="Consolas"/>
          <w:color w:val="333333"/>
          <w:sz w:val="18"/>
        </w:rPr>
        <w:t>Behavioral composite (per entity):</w:t>
        <w:br/>
        <w:t xml:space="preserve">   V = normalize( SUM_z  w_z * embed( serialize(zone_z) ) )</w:t>
        <w:br/>
        <w:br/>
        <w:t>Drift between two periods:</w:t>
        <w:br/>
        <w:t xml:space="preserve">   magnitude   d_t = 1 - cos( V_{t-1}, V_t )</w:t>
        <w:br/>
        <w:t xml:space="preserve">   direction   u_t = ( V_t - V_{t-1} ) / || V_t - V_{t-1} ||</w:t>
        <w:br/>
        <w:br/>
        <w:t>Direction naming (explainability):</w:t>
        <w:br/>
        <w:t xml:space="preserve">   align_k = cos( u_t , embed(concept_k) )   -&gt; rank -&gt; MITRE / domain concept</w:t>
        <w:br/>
        <w:br/>
        <w:t>Peer-cohort relative score:</w:t>
        <w:br/>
        <w:t xml:space="preserve">   z[i,f] = ( x[i,f] - mu_cohort[f] ) / sigma_cohort[f]</w:t>
        <w:br/>
        <w:br/>
        <w:t>Slow-drift accumulation (CUSUM):</w:t>
        <w:br/>
        <w:t xml:space="preserve">   S_0 = 0 ;  S_t = max( 0, S_{t-1} + (d_t - k) ) ;  alarm when S_t &gt; h</w:t>
        <w:br/>
        <w:br/>
        <w:t>Relationship (pairwise, Hadamard):</w:t>
        <w:br/>
        <w:t xml:space="preserve">   R[a x b] = normalize( V_a (*) V_b )</w:t>
      </w:r>
    </w:p>
    <w:p>
      <w:pPr>
        <w:spacing w:after="120"/>
      </w:pPr>
      <w:r>
        <w:rPr>
          <w:b w:val="0"/>
          <w:i w:val="0"/>
          <w:color w:val="000000"/>
          <w:sz w:val="21"/>
        </w:rPr>
        <w:t>Each is domain-agnostic: 'serialize' changes per domain (a user's auth behavior, a supplier's sourcing mix, a patient's coding pattern), but the geometry — direction over magnitude, cohort-relative scoring, accumulation, and pairwise composition — is constant.</w:t>
      </w:r>
    </w:p>
    <w:p>
      <w:r>
        <w:br w:type="page"/>
      </w:r>
    </w:p>
    <w:p>
      <w:pPr>
        <w:pStyle w:val="Heading1"/>
      </w:pPr>
      <w:r>
        <w:rPr>
          <w:color w:val="0D1B2A"/>
        </w:rPr>
        <w:t>5. Multi-Phase Composite Scoring</w:t>
      </w:r>
    </w:p>
    <w:p>
      <w:pPr>
        <w:jc w:val="center"/>
      </w:pPr>
      <w:r>
        <w:drawing>
          <wp:inline xmlns:a="http://schemas.openxmlformats.org/drawingml/2006/main" xmlns:pic="http://schemas.openxmlformats.org/drawingml/2006/picture">
            <wp:extent cx="5486400" cy="2127380"/>
            <wp:docPr id="3" name="Picture 3"/>
            <wp:cNvGraphicFramePr>
              <a:graphicFrameLocks noChangeAspect="1"/>
            </wp:cNvGraphicFramePr>
            <a:graphic>
              <a:graphicData uri="http://schemas.openxmlformats.org/drawingml/2006/picture">
                <pic:pic>
                  <pic:nvPicPr>
                    <pic:cNvPr id="0" name="fig_bei_composite.png"/>
                    <pic:cNvPicPr/>
                  </pic:nvPicPr>
                  <pic:blipFill>
                    <a:blip r:embed="rId11"/>
                    <a:stretch>
                      <a:fillRect/>
                    </a:stretch>
                  </pic:blipFill>
                  <pic:spPr>
                    <a:xfrm>
                      <a:off x="0" y="0"/>
                      <a:ext cx="5486400" cy="2127380"/>
                    </a:xfrm>
                    <a:prstGeom prst="rect"/>
                  </pic:spPr>
                </pic:pic>
              </a:graphicData>
            </a:graphic>
          </wp:inline>
        </w:drawing>
      </w:r>
    </w:p>
    <w:p>
      <w:pPr>
        <w:spacing w:after="160"/>
        <w:jc w:val="center"/>
      </w:pPr>
      <w:r>
        <w:rPr>
          <w:i/>
          <w:color w:val="444444"/>
          <w:sz w:val="18"/>
        </w:rPr>
        <w:t>Figure 3 — Multi-phase composite scoring: five independent signals fused into a single ranked verdict, so no single evasion technique defeats detection.</w:t>
      </w:r>
    </w:p>
    <w:p>
      <w:pPr>
        <w:spacing w:after="120"/>
      </w:pPr>
      <w:r>
        <w:rPr>
          <w:b w:val="0"/>
          <w:i w:val="0"/>
          <w:color w:val="000000"/>
          <w:sz w:val="21"/>
        </w:rPr>
        <w:t>At every layer, anomaly detection uses multi-phase composite scoring — five independent detection phases fused into a single ranked score. A normal entity might score high on one phase by random variation; a genuinely anomalous entity scores high on multiple phases simultaneously.</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4032"/>
            <w:shd w:fill="0D1B2A"/>
          </w:tcPr>
          <w:p>
            <w:pPr>
              <w:jc w:val="center"/>
            </w:pPr>
            <w:r>
              <w:rPr>
                <w:b/>
                <w:color w:val="FFFFFF"/>
                <w:sz w:val="18"/>
              </w:rPr>
              <w:t>What It Measures</w:t>
            </w:r>
          </w:p>
        </w:tc>
        <w:tc>
          <w:tcPr>
            <w:tcW w:type="dxa" w:w="3600"/>
            <w:shd w:fill="0D1B2A"/>
          </w:tcPr>
          <w:p>
            <w:pPr>
              <w:jc w:val="center"/>
            </w:pPr>
            <w:r>
              <w:rPr>
                <w:b/>
                <w:color w:val="FFFFFF"/>
                <w:sz w:val="18"/>
              </w:rPr>
              <w:t>Why It Matters</w:t>
            </w:r>
          </w:p>
        </w:tc>
      </w:tr>
      <w:tr>
        <w:tc>
          <w:tcPr>
            <w:tcW w:type="dxa" w:w="1728"/>
          </w:tcPr>
          <w:p>
            <w:r>
              <w:rPr>
                <w:sz w:val="18"/>
              </w:rPr>
              <w:t>Signal Strength</w:t>
            </w:r>
          </w:p>
        </w:tc>
        <w:tc>
          <w:tcPr>
            <w:tcW w:type="dxa" w:w="4032"/>
          </w:tcPr>
          <w:p>
            <w:r>
              <w:rPr>
                <w:sz w:val="18"/>
              </w:rPr>
              <w:t>Magnitude of the strongest anomaly signals relative to peer group</w:t>
            </w:r>
          </w:p>
        </w:tc>
        <w:tc>
          <w:tcPr>
            <w:tcW w:type="dxa" w:w="3600"/>
          </w:tcPr>
          <w:p>
            <w:r>
              <w:rPr>
                <w:sz w:val="18"/>
              </w:rPr>
              <w:t>Catches entities with extreme deviations on their most anomalous dimensions</w:t>
            </w:r>
          </w:p>
        </w:tc>
      </w:tr>
      <w:tr>
        <w:tc>
          <w:tcPr>
            <w:tcW w:type="dxa" w:w="1728"/>
            <w:shd w:fill="EAF0F6"/>
          </w:tcPr>
          <w:p>
            <w:r>
              <w:rPr>
                <w:sz w:val="18"/>
              </w:rPr>
              <w:t>Breadth</w:t>
            </w:r>
          </w:p>
        </w:tc>
        <w:tc>
          <w:tcPr>
            <w:tcW w:type="dxa" w:w="4032"/>
            <w:shd w:fill="EAF0F6"/>
          </w:tcPr>
          <w:p>
            <w:r>
              <w:rPr>
                <w:sz w:val="18"/>
              </w:rPr>
              <w:t>Count of dimensions exceeding a significance threshold</w:t>
            </w:r>
          </w:p>
        </w:tc>
        <w:tc>
          <w:tcPr>
            <w:tcW w:type="dxa" w:w="3600"/>
            <w:shd w:fill="EAF0F6"/>
          </w:tcPr>
          <w:p>
            <w:r>
              <w:rPr>
                <w:sz w:val="18"/>
              </w:rPr>
              <w:t>Distinguishes single-dimension noise from multi-dimension anomaly patterns</w:t>
            </w:r>
          </w:p>
        </w:tc>
      </w:tr>
      <w:tr>
        <w:tc>
          <w:tcPr>
            <w:tcW w:type="dxa" w:w="1728"/>
          </w:tcPr>
          <w:p>
            <w:r>
              <w:rPr>
                <w:sz w:val="18"/>
              </w:rPr>
              <w:t>Sustained Deviation</w:t>
            </w:r>
          </w:p>
        </w:tc>
        <w:tc>
          <w:tcPr>
            <w:tcW w:type="dxa" w:w="4032"/>
          </w:tcPr>
          <w:p>
            <w:r>
              <w:rPr>
                <w:sz w:val="18"/>
              </w:rPr>
              <w:t>Persistence of anomalies across multiple observation periods</w:t>
            </w:r>
          </w:p>
        </w:tc>
        <w:tc>
          <w:tcPr>
            <w:tcW w:type="dxa" w:w="3600"/>
          </w:tcPr>
          <w:p>
            <w:r>
              <w:rPr>
                <w:sz w:val="18"/>
              </w:rPr>
              <w:t>Separates transient events from persistent campaigns or degradation</w:t>
            </w:r>
          </w:p>
        </w:tc>
      </w:tr>
      <w:tr>
        <w:tc>
          <w:tcPr>
            <w:tcW w:type="dxa" w:w="1728"/>
            <w:shd w:fill="EAF0F6"/>
          </w:tcPr>
          <w:p>
            <w:r>
              <w:rPr>
                <w:sz w:val="18"/>
              </w:rPr>
              <w:t>Context Divergence</w:t>
            </w:r>
          </w:p>
        </w:tc>
        <w:tc>
          <w:tcPr>
            <w:tcW w:type="dxa" w:w="4032"/>
            <w:shd w:fill="EAF0F6"/>
          </w:tcPr>
          <w:p>
            <w:r>
              <w:rPr>
                <w:sz w:val="18"/>
              </w:rPr>
              <w:t>Consistency of anomaly across multiple analytical contexts</w:t>
            </w:r>
          </w:p>
        </w:tc>
        <w:tc>
          <w:tcPr>
            <w:tcW w:type="dxa" w:w="3600"/>
            <w:shd w:fill="EAF0F6"/>
          </w:tcPr>
          <w:p>
            <w:r>
              <w:rPr>
                <w:sz w:val="18"/>
              </w:rPr>
              <w:t>Anomalous entities flag under threat-specific contexts; normal entities do not</w:t>
            </w:r>
          </w:p>
        </w:tc>
      </w:tr>
      <w:tr>
        <w:tc>
          <w:tcPr>
            <w:tcW w:type="dxa" w:w="1728"/>
          </w:tcPr>
          <w:p>
            <w:r>
              <w:rPr>
                <w:sz w:val="18"/>
              </w:rPr>
              <w:t>Novelty Persistence</w:t>
            </w:r>
          </w:p>
        </w:tc>
        <w:tc>
          <w:tcPr>
            <w:tcW w:type="dxa" w:w="4032"/>
          </w:tcPr>
          <w:p>
            <w:r>
              <w:rPr>
                <w:sz w:val="18"/>
              </w:rPr>
              <w:t>Recurrence of previously-unseen behaviors across periods</w:t>
            </w:r>
          </w:p>
        </w:tc>
        <w:tc>
          <w:tcPr>
            <w:tcW w:type="dxa" w:w="3600"/>
          </w:tcPr>
          <w:p>
            <w:r>
              <w:rPr>
                <w:sz w:val="18"/>
              </w:rPr>
              <w:t>Catches new patterns (new contacts, new routes, new components) that persist</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actor who suppresses signal strength still fails on breadth; one who limits breadth still fails on sustained deviation or novelty persistence.</w:t>
      </w:r>
    </w:p>
    <w:p>
      <w:r>
        <w:br w:type="page"/>
      </w:r>
    </w:p>
    <w:p>
      <w:pPr>
        <w:pStyle w:val="Heading1"/>
      </w:pPr>
      <w:r>
        <w:rPr>
          <w:color w:val="0D1B2A"/>
        </w:rPr>
        <w:t>6. Domain Applications</w:t>
      </w:r>
    </w:p>
    <w:p>
      <w:pPr>
        <w:spacing w:after="120"/>
      </w:pPr>
      <w:r>
        <w:rPr>
          <w:b w:val="0"/>
          <w:i w:val="0"/>
          <w:color w:val="000000"/>
          <w:sz w:val="21"/>
        </w:rPr>
        <w:t>The following sections demonstrate how the BEI framework applies across twelve distinct mission domains. For each domain, we define the primary entities, behavioral zones, key relationships, and the specific anomaly patterns the architecture is designed to surface where traditional analytics fail. Only the cybersecurity domain (Section 8) is empirically validated to date; the other eleven are designed applications of the same architecture, not yet validated on data.</w:t>
      </w:r>
    </w:p>
    <w:p>
      <w:pPr>
        <w:pStyle w:val="Heading2"/>
      </w:pPr>
      <w:r>
        <w:rPr>
          <w:color w:val="1B4F72"/>
        </w:rPr>
        <w:t>6.1. Cybersecurity — Insider Threat and APT Detection</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User, Device, Application, Network Segment</w:t>
            </w:r>
          </w:p>
        </w:tc>
      </w:tr>
      <w:tr>
        <w:tc>
          <w:tcPr>
            <w:tcW w:type="dxa" w:w="2160"/>
            <w:shd w:fill="EAF0F6"/>
          </w:tcPr>
          <w:p>
            <w:r>
              <w:rPr>
                <w:sz w:val="18"/>
              </w:rPr>
              <w:t>Behavioral Zones</w:t>
            </w:r>
          </w:p>
        </w:tc>
        <w:tc>
          <w:tcPr>
            <w:tcW w:type="dxa" w:w="7200"/>
            <w:shd w:fill="EAF0F6"/>
          </w:tcPr>
          <w:p>
            <w:r>
              <w:rPr>
                <w:sz w:val="18"/>
              </w:rPr>
              <w:t>Identity, Access patterns, Data behavior, Network footprint, Risk posture</w:t>
            </w:r>
          </w:p>
        </w:tc>
      </w:tr>
      <w:tr>
        <w:tc>
          <w:tcPr>
            <w:tcW w:type="dxa" w:w="2160"/>
          </w:tcPr>
          <w:p>
            <w:r>
              <w:rPr>
                <w:sz w:val="18"/>
              </w:rPr>
              <w:t>Key Relationships</w:t>
            </w:r>
          </w:p>
        </w:tc>
        <w:tc>
          <w:tcPr>
            <w:tcW w:type="dxa" w:w="7200"/>
          </w:tcPr>
          <w:p>
            <w:r>
              <w:rPr>
                <w:sz w:val="18"/>
              </w:rPr>
              <w:t>User×Device, User×Application, Device×Segment</w:t>
            </w:r>
          </w:p>
        </w:tc>
      </w:tr>
      <w:tr>
        <w:tc>
          <w:tcPr>
            <w:tcW w:type="dxa" w:w="2160"/>
            <w:shd w:fill="EAF0F6"/>
          </w:tcPr>
          <w:p>
            <w:r>
              <w:rPr>
                <w:sz w:val="18"/>
              </w:rPr>
              <w:t>Time Granularity</w:t>
            </w:r>
          </w:p>
        </w:tc>
        <w:tc>
          <w:tcPr>
            <w:tcW w:type="dxa" w:w="7200"/>
            <w:shd w:fill="EAF0F6"/>
          </w:tcPr>
          <w:p>
            <w:r>
              <w:rPr>
                <w:sz w:val="18"/>
              </w:rPr>
              <w:t>Weekly behavioral snapshots</w:t>
            </w:r>
          </w:p>
        </w:tc>
      </w:tr>
      <w:tr>
        <w:tc>
          <w:tcPr>
            <w:tcW w:type="dxa" w:w="2160"/>
          </w:tcPr>
          <w:p>
            <w:r>
              <w:rPr>
                <w:sz w:val="18"/>
              </w:rPr>
              <w:t>Data Sources</w:t>
            </w:r>
          </w:p>
        </w:tc>
        <w:tc>
          <w:tcPr>
            <w:tcW w:type="dxa" w:w="7200"/>
          </w:tcPr>
          <w:p>
            <w:r>
              <w:rPr>
                <w:sz w:val="18"/>
              </w:rPr>
              <w:t>Authentication logs, file access, network flow, DNS, endpoint telemetry</w:t>
            </w:r>
          </w:p>
        </w:tc>
      </w:tr>
      <w:tr>
        <w:tc>
          <w:tcPr>
            <w:tcW w:type="dxa" w:w="2160"/>
            <w:shd w:fill="EAF0F6"/>
          </w:tcPr>
          <w:p>
            <w:r>
              <w:rPr>
                <w:sz w:val="18"/>
              </w:rPr>
              <w:t>Anomaly Detected</w:t>
            </w:r>
          </w:p>
        </w:tc>
        <w:tc>
          <w:tcPr>
            <w:tcW w:type="dxa" w:w="7200"/>
            <w:shd w:fill="EAF0F6"/>
          </w:tcPr>
          <w:p>
            <w:r>
              <w:rPr>
                <w:sz w:val="18"/>
              </w:rPr>
              <w:t>Insider shifting from public to restricted file access at constant volume;</w:t>
              <w:br/>
              <w:t>APT C2 beacon: persistent novel IP appearing every week for 60 weeks;</w:t>
              <w:br/>
              <w:t>LOTL: legitimate admin tools used in anomalous temporal/contextual patterns</w:t>
            </w:r>
          </w:p>
        </w:tc>
      </w:tr>
      <w:tr>
        <w:tc>
          <w:tcPr>
            <w:tcW w:type="dxa" w:w="2160"/>
          </w:tcPr>
          <w:p>
            <w:r>
              <w:rPr>
                <w:sz w:val="18"/>
              </w:rPr>
              <w:t>Traditional Gap</w:t>
            </w:r>
          </w:p>
        </w:tc>
        <w:tc>
          <w:tcPr>
            <w:tcW w:type="dxa" w:w="7200"/>
          </w:tcPr>
          <w:p>
            <w:r>
              <w:rPr>
                <w:sz w:val="18"/>
              </w:rPr>
              <w:t>All 4 attack users remain within normal statistical ranges on all 23 individual features</w:t>
            </w:r>
          </w:p>
        </w:tc>
      </w:tr>
      <w:tr>
        <w:tc>
          <w:tcPr>
            <w:tcW w:type="dxa" w:w="2160"/>
            <w:shd w:fill="EAF0F6"/>
          </w:tcPr>
          <w:p>
            <w:r>
              <w:rPr>
                <w:sz w:val="18"/>
              </w:rPr>
              <w:t>BEI Result</w:t>
            </w:r>
          </w:p>
        </w:tc>
        <w:tc>
          <w:tcPr>
            <w:tcW w:type="dxa" w:w="7200"/>
            <w:shd w:fill="EAF0F6"/>
          </w:tcPr>
          <w:p>
            <w:r>
              <w:rPr>
                <w:sz w:val="18"/>
              </w:rPr>
              <w:t>4/4 detected at 8.1% FP via multi-phase composite scoring</w:t>
            </w:r>
          </w:p>
        </w:tc>
      </w:tr>
    </w:tbl>
    <w:p/>
    <w:p>
      <w:pPr>
        <w:pStyle w:val="Heading2"/>
      </w:pPr>
      <w:r>
        <w:rPr>
          <w:color w:val="1B4F72"/>
        </w:rPr>
        <w:t>6.2. Defense Supply Chain — DLA, SCRM, SBOM</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Supplier, NSN (Part), Location (Depot/Base), Manufacturer</w:t>
            </w:r>
          </w:p>
        </w:tc>
      </w:tr>
      <w:tr>
        <w:tc>
          <w:tcPr>
            <w:tcW w:type="dxa" w:w="2160"/>
            <w:shd w:fill="EAF0F6"/>
          </w:tcPr>
          <w:p>
            <w:r>
              <w:rPr>
                <w:sz w:val="18"/>
              </w:rPr>
              <w:t>Behavioral Zones</w:t>
            </w:r>
          </w:p>
        </w:tc>
        <w:tc>
          <w:tcPr>
            <w:tcW w:type="dxa" w:w="7200"/>
            <w:shd w:fill="EAF0F6"/>
          </w:tcPr>
          <w:p>
            <w:r>
              <w:rPr>
                <w:sz w:val="18"/>
              </w:rPr>
              <w:t>Delivery performance, Pricing trends, Quality metrics,</w:t>
              <w:br/>
              <w:t>Sourcing geography, Capacity utilization, Contract compliance</w:t>
            </w:r>
          </w:p>
        </w:tc>
      </w:tr>
      <w:tr>
        <w:tc>
          <w:tcPr>
            <w:tcW w:type="dxa" w:w="2160"/>
          </w:tcPr>
          <w:p>
            <w:r>
              <w:rPr>
                <w:sz w:val="18"/>
              </w:rPr>
              <w:t>Key Relationships</w:t>
            </w:r>
          </w:p>
        </w:tc>
        <w:tc>
          <w:tcPr>
            <w:tcW w:type="dxa" w:w="7200"/>
          </w:tcPr>
          <w:p>
            <w:r>
              <w:rPr>
                <w:sz w:val="18"/>
              </w:rPr>
              <w:t>Supplier×NSN (part-specific performance),</w:t>
              <w:br/>
              <w:t>Supplier×Country (sourcing origin tracking),</w:t>
              <w:br/>
              <w:t>NSN×Location (demand patterns per site),</w:t>
              <w:br/>
              <w:t>NSN×SBOM (bill of materials composition),</w:t>
              <w:br/>
              <w:t>Manufacturer×Supplier (who makes vs who distributes)</w:t>
            </w:r>
          </w:p>
        </w:tc>
      </w:tr>
      <w:tr>
        <w:tc>
          <w:tcPr>
            <w:tcW w:type="dxa" w:w="2160"/>
            <w:shd w:fill="EAF0F6"/>
          </w:tcPr>
          <w:p>
            <w:r>
              <w:rPr>
                <w:sz w:val="18"/>
              </w:rPr>
              <w:t>Transactional Entity</w:t>
            </w:r>
          </w:p>
        </w:tc>
        <w:tc>
          <w:tcPr>
            <w:tcW w:type="dxa" w:w="7200"/>
            <w:shd w:fill="EAF0F6"/>
          </w:tcPr>
          <w:p>
            <w:r>
              <w:rPr>
                <w:sz w:val="18"/>
              </w:rPr>
              <w:t>Demand signal for NSN X at Location Y — itself an entity with</w:t>
              <w:br/>
              <w:t>behavioral profile: requestor mix, urgency code distribution,</w:t>
              <w:br/>
              <w:t>quantity patterns, seasonal profile, lead time variation</w:t>
            </w:r>
          </w:p>
        </w:tc>
      </w:tr>
      <w:tr>
        <w:tc>
          <w:tcPr>
            <w:tcW w:type="dxa" w:w="2160"/>
          </w:tcPr>
          <w:p>
            <w:r>
              <w:rPr>
                <w:sz w:val="18"/>
              </w:rPr>
              <w:t>Time Granularity</w:t>
            </w:r>
          </w:p>
        </w:tc>
        <w:tc>
          <w:tcPr>
            <w:tcW w:type="dxa" w:w="7200"/>
          </w:tcPr>
          <w:p>
            <w:r>
              <w:rPr>
                <w:sz w:val="18"/>
              </w:rPr>
              <w:t>Weekly or monthly snapshots</w:t>
            </w:r>
          </w:p>
        </w:tc>
      </w:tr>
      <w:tr>
        <w:tc>
          <w:tcPr>
            <w:tcW w:type="dxa" w:w="2160"/>
            <w:shd w:fill="EAF0F6"/>
          </w:tcPr>
          <w:p>
            <w:r>
              <w:rPr>
                <w:sz w:val="18"/>
              </w:rPr>
              <w:t>Data Sources</w:t>
            </w:r>
          </w:p>
        </w:tc>
        <w:tc>
          <w:tcPr>
            <w:tcW w:type="dxa" w:w="7200"/>
            <w:shd w:fill="EAF0F6"/>
          </w:tcPr>
          <w:p>
            <w:r>
              <w:rPr>
                <w:sz w:val="18"/>
              </w:rPr>
              <w:t>Procurement transactions, delivery records, quality inspections,</w:t>
              <w:br/>
              <w:t>GIDEP alerts, country-of-origin declarations, SBOM registries</w:t>
            </w:r>
          </w:p>
        </w:tc>
      </w:tr>
      <w:tr>
        <w:tc>
          <w:tcPr>
            <w:tcW w:type="dxa" w:w="2160"/>
          </w:tcPr>
          <w:p>
            <w:r>
              <w:rPr>
                <w:sz w:val="18"/>
              </w:rPr>
              <w:t>Anomaly Detected</w:t>
            </w:r>
          </w:p>
        </w:tc>
        <w:tc>
          <w:tcPr>
            <w:tcW w:type="dxa" w:w="7200"/>
          </w:tcPr>
          <w:p>
            <w:r>
              <w:rPr>
                <w:sz w:val="18"/>
              </w:rPr>
              <w:t>Supplier gradually shifts component sourcing from domestic to</w:t>
              <w:br/>
              <w:t>adversary-nation origins while maintaining delivery and price metrics;</w:t>
              <w:br/>
              <w:t>NSN bill of materials composition drifts without notification;</w:t>
              <w:br/>
              <w:t>Demand pattern changes WHO is requesting at WHAT urgency (diversion);</w:t>
              <w:br/>
              <w:t>Two 'independent' suppliers develop correlated failures (shared sub-tier)</w:t>
            </w:r>
          </w:p>
        </w:tc>
      </w:tr>
      <w:tr>
        <w:tc>
          <w:tcPr>
            <w:tcW w:type="dxa" w:w="2160"/>
            <w:shd w:fill="EAF0F6"/>
          </w:tcPr>
          <w:p>
            <w:r>
              <w:rPr>
                <w:sz w:val="18"/>
              </w:rPr>
              <w:t>Traditional Gap</w:t>
            </w:r>
          </w:p>
        </w:tc>
        <w:tc>
          <w:tcPr>
            <w:tcW w:type="dxa" w:w="7200"/>
            <w:shd w:fill="EAF0F6"/>
          </w:tcPr>
          <w:p>
            <w:r>
              <w:rPr>
                <w:sz w:val="18"/>
              </w:rPr>
              <w:t>Individual supplier metrics (on-time %, quality score) all pass thresholds</w:t>
            </w:r>
          </w:p>
        </w:tc>
      </w:tr>
      <w:tr>
        <w:tc>
          <w:tcPr>
            <w:tcW w:type="dxa" w:w="2160"/>
          </w:tcPr>
          <w:p>
            <w:r>
              <w:rPr>
                <w:sz w:val="18"/>
              </w:rPr>
              <w:t>BEI Result</w:t>
            </w:r>
          </w:p>
        </w:tc>
        <w:tc>
          <w:tcPr>
            <w:tcW w:type="dxa" w:w="7200"/>
          </w:tcPr>
          <w:p>
            <w:r>
              <w:rPr>
                <w:sz w:val="18"/>
              </w:rPr>
              <w:t>Relationship-level drift (Supplier×Country, NSN×SBOM) reveals risk invisible</w:t>
              <w:br/>
              <w:t>to entity-level monitoring</w:t>
            </w:r>
          </w:p>
        </w:tc>
      </w:tr>
    </w:tbl>
    <w:p/>
    <w:p>
      <w:pPr>
        <w:pStyle w:val="Heading2"/>
      </w:pPr>
      <w:r>
        <w:rPr>
          <w:color w:val="1B4F72"/>
        </w:rPr>
        <w:t>6.3. Prescriptive Maintenance — Equipment Reliability</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Equipment unit (specific serial number), Component, Facility</w:t>
            </w:r>
          </w:p>
        </w:tc>
      </w:tr>
      <w:tr>
        <w:tc>
          <w:tcPr>
            <w:tcW w:type="dxa" w:w="2160"/>
            <w:shd w:fill="EAF0F6"/>
          </w:tcPr>
          <w:p>
            <w:r>
              <w:rPr>
                <w:sz w:val="18"/>
              </w:rPr>
              <w:t>Behavioral Zones</w:t>
            </w:r>
          </w:p>
        </w:tc>
        <w:tc>
          <w:tcPr>
            <w:tcW w:type="dxa" w:w="7200"/>
            <w:shd w:fill="EAF0F6"/>
          </w:tcPr>
          <w:p>
            <w:r>
              <w:rPr>
                <w:sz w:val="18"/>
              </w:rPr>
              <w:t>Vibration profile, Thermal signature, Power consumption,</w:t>
              <w:br/>
              <w:t>Fluid chemistry, Error code patterns, Operational duty cycle</w:t>
            </w:r>
          </w:p>
        </w:tc>
      </w:tr>
      <w:tr>
        <w:tc>
          <w:tcPr>
            <w:tcW w:type="dxa" w:w="2160"/>
          </w:tcPr>
          <w:p>
            <w:r>
              <w:rPr>
                <w:sz w:val="18"/>
              </w:rPr>
              <w:t>Key Relationships</w:t>
            </w:r>
          </w:p>
        </w:tc>
        <w:tc>
          <w:tcPr>
            <w:tcW w:type="dxa" w:w="7200"/>
          </w:tcPr>
          <w:p>
            <w:r>
              <w:rPr>
                <w:sz w:val="18"/>
              </w:rPr>
              <w:t>Equipment×Component (which components fail on this unit?),</w:t>
              <w:br/>
              <w:t>Equipment×Facility (does environment affect degradation?),</w:t>
              <w:br/>
              <w:t>Component×Supplier (does supplier origin predict failure rate?)</w:t>
            </w:r>
          </w:p>
        </w:tc>
      </w:tr>
      <w:tr>
        <w:tc>
          <w:tcPr>
            <w:tcW w:type="dxa" w:w="2160"/>
            <w:shd w:fill="EAF0F6"/>
          </w:tcPr>
          <w:p>
            <w:r>
              <w:rPr>
                <w:sz w:val="18"/>
              </w:rPr>
              <w:t>Time Granularity</w:t>
            </w:r>
          </w:p>
        </w:tc>
        <w:tc>
          <w:tcPr>
            <w:tcW w:type="dxa" w:w="7200"/>
            <w:shd w:fill="EAF0F6"/>
          </w:tcPr>
          <w:p>
            <w:r>
              <w:rPr>
                <w:sz w:val="18"/>
              </w:rPr>
              <w:t>Daily or weekly sensor aggregates</w:t>
            </w:r>
          </w:p>
        </w:tc>
      </w:tr>
      <w:tr>
        <w:tc>
          <w:tcPr>
            <w:tcW w:type="dxa" w:w="2160"/>
          </w:tcPr>
          <w:p>
            <w:r>
              <w:rPr>
                <w:sz w:val="18"/>
              </w:rPr>
              <w:t>Data Sources</w:t>
            </w:r>
          </w:p>
        </w:tc>
        <w:tc>
          <w:tcPr>
            <w:tcW w:type="dxa" w:w="7200"/>
          </w:tcPr>
          <w:p>
            <w:r>
              <w:rPr>
                <w:sz w:val="18"/>
              </w:rPr>
              <w:t>IoT sensors, maintenance logs, CMMS records, fluid analysis,</w:t>
              <w:br/>
              <w:t>operational tempo data, environmental conditions</w:t>
            </w:r>
          </w:p>
        </w:tc>
      </w:tr>
      <w:tr>
        <w:tc>
          <w:tcPr>
            <w:tcW w:type="dxa" w:w="2160"/>
            <w:shd w:fill="EAF0F6"/>
          </w:tcPr>
          <w:p>
            <w:r>
              <w:rPr>
                <w:sz w:val="18"/>
              </w:rPr>
              <w:t>Anomaly Detected</w:t>
            </w:r>
          </w:p>
        </w:tc>
        <w:tc>
          <w:tcPr>
            <w:tcW w:type="dxa" w:w="7200"/>
            <w:shd w:fill="EAF0F6"/>
          </w:tcPr>
          <w:p>
            <w:r>
              <w:rPr>
                <w:sz w:val="18"/>
              </w:rPr>
              <w:t>RPM-to-temperature-to-fuel-flow RELATIONSHIP shifts 8% over 6 weeks —</w:t>
              <w:br/>
              <w:t>compressor degradation invisible to individual sensor thresholds;</w:t>
              <w:br/>
              <w:t>New vibration frequency appears at specific RPM range — bearing wear;</w:t>
              <w:br/>
              <w:t>Zone divergence: thermal zone drifting while vibration stable = fluid issue</w:t>
            </w:r>
          </w:p>
        </w:tc>
      </w:tr>
      <w:tr>
        <w:tc>
          <w:tcPr>
            <w:tcW w:type="dxa" w:w="2160"/>
          </w:tcPr>
          <w:p>
            <w:r>
              <w:rPr>
                <w:sz w:val="18"/>
              </w:rPr>
              <w:t>Mission Impact</w:t>
            </w:r>
          </w:p>
        </w:tc>
        <w:tc>
          <w:tcPr>
            <w:tcW w:type="dxa" w:w="7200"/>
          </w:tcPr>
          <w:p>
            <w:r>
              <w:rPr>
                <w:sz w:val="18"/>
              </w:rPr>
              <w:t>Equipment behavioral drift predicts WHAT parts will be needed WHEN —</w:t>
              <w:br/>
              <w:t>feeding demand forecasting and supply chain pre-positioning;</w:t>
              <w:br/>
              <w:t>Prevents mission-degrading failures through behavioral early warning</w:t>
            </w:r>
          </w:p>
        </w:tc>
      </w:tr>
      <w:tr>
        <w:tc>
          <w:tcPr>
            <w:tcW w:type="dxa" w:w="2160"/>
            <w:shd w:fill="EAF0F6"/>
          </w:tcPr>
          <w:p>
            <w:r>
              <w:rPr>
                <w:sz w:val="18"/>
              </w:rPr>
              <w:t>Traditional Gap</w:t>
            </w:r>
          </w:p>
        </w:tc>
        <w:tc>
          <w:tcPr>
            <w:tcW w:type="dxa" w:w="7200"/>
            <w:shd w:fill="EAF0F6"/>
          </w:tcPr>
          <w:p>
            <w:r>
              <w:rPr>
                <w:sz w:val="18"/>
              </w:rPr>
              <w:t>Every individual sensor reading remains within spec; the PATTERN change is invisible to single-threshold monitoring</w:t>
            </w:r>
          </w:p>
        </w:tc>
      </w:tr>
    </w:tbl>
    <w:p/>
    <w:p>
      <w:pPr>
        <w:pStyle w:val="Heading2"/>
      </w:pPr>
      <w:r>
        <w:rPr>
          <w:color w:val="1B4F72"/>
        </w:rPr>
        <w:t>6.4. Healthcare Fraud — Medical Billing and Claims</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Provider (physician/facility), Patient/Beneficiary, Procedure, Diagnosis</w:t>
            </w:r>
          </w:p>
        </w:tc>
      </w:tr>
      <w:tr>
        <w:tc>
          <w:tcPr>
            <w:tcW w:type="dxa" w:w="2160"/>
            <w:shd w:fill="EAF0F6"/>
          </w:tcPr>
          <w:p>
            <w:r>
              <w:rPr>
                <w:sz w:val="18"/>
              </w:rPr>
              <w:t>Behavioral Zones</w:t>
            </w:r>
          </w:p>
        </w:tc>
        <w:tc>
          <w:tcPr>
            <w:tcW w:type="dxa" w:w="7200"/>
            <w:shd w:fill="EAF0F6"/>
          </w:tcPr>
          <w:p>
            <w:r>
              <w:rPr>
                <w:sz w:val="18"/>
              </w:rPr>
              <w:t>Procedure mix, Diagnosis coding distribution, Referral network,</w:t>
              <w:br/>
              <w:t>Patient demographics, Charge amounts, Visit frequency</w:t>
            </w:r>
          </w:p>
        </w:tc>
      </w:tr>
      <w:tr>
        <w:tc>
          <w:tcPr>
            <w:tcW w:type="dxa" w:w="2160"/>
          </w:tcPr>
          <w:p>
            <w:r>
              <w:rPr>
                <w:sz w:val="18"/>
              </w:rPr>
              <w:t>Key Relationships</w:t>
            </w:r>
          </w:p>
        </w:tc>
        <w:tc>
          <w:tcPr>
            <w:tcW w:type="dxa" w:w="7200"/>
          </w:tcPr>
          <w:p>
            <w:r>
              <w:rPr>
                <w:sz w:val="18"/>
              </w:rPr>
              <w:t>Provider×Diagnosis (coding pattern per provider),</w:t>
              <w:br/>
              <w:t>Provider×Provider (referral network dynamics),</w:t>
              <w:br/>
              <w:t>Patient×Provider (beneficiary loyalty patterns),</w:t>
              <w:br/>
              <w:t>Procedure×Diagnosis (clinical appropriateness)</w:t>
            </w:r>
          </w:p>
        </w:tc>
      </w:tr>
      <w:tr>
        <w:tc>
          <w:tcPr>
            <w:tcW w:type="dxa" w:w="2160"/>
            <w:shd w:fill="EAF0F6"/>
          </w:tcPr>
          <w:p>
            <w:r>
              <w:rPr>
                <w:sz w:val="18"/>
              </w:rPr>
              <w:t>Time Granularity</w:t>
            </w:r>
          </w:p>
        </w:tc>
        <w:tc>
          <w:tcPr>
            <w:tcW w:type="dxa" w:w="7200"/>
            <w:shd w:fill="EAF0F6"/>
          </w:tcPr>
          <w:p>
            <w:r>
              <w:rPr>
                <w:sz w:val="18"/>
              </w:rPr>
              <w:t>Monthly claim aggregates</w:t>
            </w:r>
          </w:p>
        </w:tc>
      </w:tr>
      <w:tr>
        <w:tc>
          <w:tcPr>
            <w:tcW w:type="dxa" w:w="2160"/>
          </w:tcPr>
          <w:p>
            <w:r>
              <w:rPr>
                <w:sz w:val="18"/>
              </w:rPr>
              <w:t>Data Sources</w:t>
            </w:r>
          </w:p>
        </w:tc>
        <w:tc>
          <w:tcPr>
            <w:tcW w:type="dxa" w:w="7200"/>
          </w:tcPr>
          <w:p>
            <w:r>
              <w:rPr>
                <w:sz w:val="18"/>
              </w:rPr>
              <w:t>CMS claims data, EHR records, provider enrollment, NPI registry</w:t>
            </w:r>
          </w:p>
        </w:tc>
      </w:tr>
      <w:tr>
        <w:tc>
          <w:tcPr>
            <w:tcW w:type="dxa" w:w="2160"/>
            <w:shd w:fill="EAF0F6"/>
          </w:tcPr>
          <w:p>
            <w:r>
              <w:rPr>
                <w:sz w:val="18"/>
              </w:rPr>
              <w:t>Anomaly Detected</w:t>
            </w:r>
          </w:p>
        </w:tc>
        <w:tc>
          <w:tcPr>
            <w:tcW w:type="dxa" w:w="7200"/>
            <w:shd w:fill="EAF0F6"/>
          </w:tcPr>
          <w:p>
            <w:r>
              <w:rPr>
                <w:sz w:val="18"/>
              </w:rPr>
              <w:t>Provider gradually upcodes from 99213→99214→99215 over 18 months —</w:t>
              <w:br/>
              <w:t>each individual claim is valid, the DRIFT is the fraud signal;</w:t>
              <w:br/>
              <w:t>Provider×Provider referral relationship suddenly intensifies = kickback;</w:t>
              <w:br/>
              <w:t>Patient cluster with suspiciously similar demographics at one provider = phantom billing</w:t>
            </w:r>
          </w:p>
        </w:tc>
      </w:tr>
      <w:tr>
        <w:tc>
          <w:tcPr>
            <w:tcW w:type="dxa" w:w="2160"/>
          </w:tcPr>
          <w:p>
            <w:r>
              <w:rPr>
                <w:sz w:val="18"/>
              </w:rPr>
              <w:t>Traditional Gap</w:t>
            </w:r>
          </w:p>
        </w:tc>
        <w:tc>
          <w:tcPr>
            <w:tcW w:type="dxa" w:w="7200"/>
          </w:tcPr>
          <w:p>
            <w:r>
              <w:rPr>
                <w:sz w:val="18"/>
              </w:rPr>
              <w:t>Each claim passes individual edit checks; fraud is in the behavioral trend</w:t>
            </w:r>
          </w:p>
        </w:tc>
      </w:tr>
    </w:tbl>
    <w:p/>
    <w:p>
      <w:pPr>
        <w:pStyle w:val="Heading2"/>
      </w:pPr>
      <w:r>
        <w:rPr>
          <w:color w:val="1B4F72"/>
        </w:rPr>
        <w:t>6.5. Insurance Fraud — Unemployment, Property, Casualty</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Claimant, Employer, Repair vendor, Adjuster</w:t>
            </w:r>
          </w:p>
        </w:tc>
      </w:tr>
      <w:tr>
        <w:tc>
          <w:tcPr>
            <w:tcW w:type="dxa" w:w="2160"/>
            <w:shd w:fill="EAF0F6"/>
          </w:tcPr>
          <w:p>
            <w:r>
              <w:rPr>
                <w:sz w:val="18"/>
              </w:rPr>
              <w:t>Behavioral Zones</w:t>
            </w:r>
          </w:p>
        </w:tc>
        <w:tc>
          <w:tcPr>
            <w:tcW w:type="dxa" w:w="7200"/>
            <w:shd w:fill="EAF0F6"/>
          </w:tcPr>
          <w:p>
            <w:r>
              <w:rPr>
                <w:sz w:val="18"/>
              </w:rPr>
              <w:t>Claim frequency, Loss type distribution, Documentation timing,</w:t>
              <w:br/>
              <w:t>Vendor selection, Geographic patterns, Certification compliance</w:t>
            </w:r>
          </w:p>
        </w:tc>
      </w:tr>
      <w:tr>
        <w:tc>
          <w:tcPr>
            <w:tcW w:type="dxa" w:w="2160"/>
          </w:tcPr>
          <w:p>
            <w:r>
              <w:rPr>
                <w:sz w:val="18"/>
              </w:rPr>
              <w:t>Key Relationships</w:t>
            </w:r>
          </w:p>
        </w:tc>
        <w:tc>
          <w:tcPr>
            <w:tcW w:type="dxa" w:w="7200"/>
          </w:tcPr>
          <w:p>
            <w:r>
              <w:rPr>
                <w:sz w:val="18"/>
              </w:rPr>
              <w:t>Claimant×Vendor (do specific claimants always use the same repair shop?),</w:t>
              <w:br/>
              <w:t>Claimant×Claimant (do claimants in a ring have correlated claim timing?),</w:t>
              <w:br/>
              <w:t>Adjuster×Vendor (does an adjuster consistently route to one vendor?)</w:t>
            </w:r>
          </w:p>
        </w:tc>
      </w:tr>
      <w:tr>
        <w:tc>
          <w:tcPr>
            <w:tcW w:type="dxa" w:w="2160"/>
            <w:shd w:fill="EAF0F6"/>
          </w:tcPr>
          <w:p>
            <w:r>
              <w:rPr>
                <w:sz w:val="18"/>
              </w:rPr>
              <w:t>Anomaly Detected</w:t>
            </w:r>
          </w:p>
        </w:tc>
        <w:tc>
          <w:tcPr>
            <w:tcW w:type="dxa" w:w="7200"/>
            <w:shd w:fill="EAF0F6"/>
          </w:tcPr>
          <w:p>
            <w:r>
              <w:rPr>
                <w:sz w:val="18"/>
              </w:rPr>
              <w:t>Unemployment claimant maintains perfect certification compliance (volume normal)</w:t>
              <w:br/>
              <w:t>but job search quality degrades — directional change invisible to thresholds;</w:t>
              <w:br/>
              <w:t>Claimant's vendor selection drifts toward a specific shop network = staged accidents;</w:t>
              <w:br/>
              <w:t>Adjuster×Vendor relationship intensifies = collusion</w:t>
            </w:r>
          </w:p>
        </w:tc>
      </w:tr>
    </w:tbl>
    <w:p/>
    <w:p>
      <w:pPr>
        <w:pStyle w:val="Heading2"/>
      </w:pPr>
      <w:r>
        <w:rPr>
          <w:color w:val="1B4F72"/>
        </w:rPr>
        <w:t>6.6. Clinical Trials — Patient Safety and Site Integrity</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Patient, Clinical site, Investigator, Study drug</w:t>
            </w:r>
          </w:p>
        </w:tc>
      </w:tr>
      <w:tr>
        <w:tc>
          <w:tcPr>
            <w:tcW w:type="dxa" w:w="2160"/>
            <w:shd w:fill="EAF0F6"/>
          </w:tcPr>
          <w:p>
            <w:r>
              <w:rPr>
                <w:sz w:val="18"/>
              </w:rPr>
              <w:t>Behavioral Zones</w:t>
            </w:r>
          </w:p>
        </w:tc>
        <w:tc>
          <w:tcPr>
            <w:tcW w:type="dxa" w:w="7200"/>
            <w:shd w:fill="EAF0F6"/>
          </w:tcPr>
          <w:p>
            <w:r>
              <w:rPr>
                <w:sz w:val="18"/>
              </w:rPr>
              <w:t>Vital sign trajectories, Adverse event frequency, Lab results,</w:t>
              <w:br/>
              <w:t>Medication compliance, Visit timing, Protocol deviations</w:t>
            </w:r>
          </w:p>
        </w:tc>
      </w:tr>
      <w:tr>
        <w:tc>
          <w:tcPr>
            <w:tcW w:type="dxa" w:w="2160"/>
          </w:tcPr>
          <w:p>
            <w:r>
              <w:rPr>
                <w:sz w:val="18"/>
              </w:rPr>
              <w:t>Key Relationships</w:t>
            </w:r>
          </w:p>
        </w:tc>
        <w:tc>
          <w:tcPr>
            <w:tcW w:type="dxa" w:w="7200"/>
          </w:tcPr>
          <w:p>
            <w:r>
              <w:rPr>
                <w:sz w:val="18"/>
              </w:rPr>
              <w:t>Site×Patient cohort (are patients at one site suspiciously similar?),</w:t>
              <w:br/>
              <w:t>Investigator×Protocol (does this investigator deviate from protocol?),</w:t>
              <w:br/>
              <w:t>Patient×Drug response (does response profile match expected pharmacology?)</w:t>
            </w:r>
          </w:p>
        </w:tc>
      </w:tr>
      <w:tr>
        <w:tc>
          <w:tcPr>
            <w:tcW w:type="dxa" w:w="2160"/>
            <w:shd w:fill="EAF0F6"/>
          </w:tcPr>
          <w:p>
            <w:r>
              <w:rPr>
                <w:sz w:val="18"/>
              </w:rPr>
              <w:t>Anomaly Detected</w:t>
            </w:r>
          </w:p>
        </w:tc>
        <w:tc>
          <w:tcPr>
            <w:tcW w:type="dxa" w:w="7200"/>
            <w:shd w:fill="EAF0F6"/>
          </w:tcPr>
          <w:p>
            <w:r>
              <w:rPr>
                <w:sz w:val="18"/>
              </w:rPr>
              <w:t>Clinical site's enrollment pattern drifts — patients suspiciously</w:t>
              <w:br/>
              <w:t>similar in demographics and response = potential data fabrication;</w:t>
              <w:br/>
              <w:t>Patient response trajectory diverges from cohort baseline = early safety signal;</w:t>
              <w:br/>
              <w:t>Site×Patient relationship shows impossibly uniform visit timing = protocol fraud</w:t>
            </w:r>
          </w:p>
        </w:tc>
      </w:tr>
    </w:tbl>
    <w:p/>
    <w:p>
      <w:pPr>
        <w:pStyle w:val="Heading2"/>
      </w:pPr>
      <w:r>
        <w:rPr>
          <w:color w:val="1B4F72"/>
        </w:rPr>
        <w:t>6.7. Counter-Intelligence — Adversary Activity Detection</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Person of interest, Diplomatic personnel, Intelligence officer,</w:t>
              <w:br/>
              <w:t>Facility, Communication endpoint</w:t>
            </w:r>
          </w:p>
        </w:tc>
      </w:tr>
      <w:tr>
        <w:tc>
          <w:tcPr>
            <w:tcW w:type="dxa" w:w="2160"/>
            <w:shd w:fill="EAF0F6"/>
          </w:tcPr>
          <w:p>
            <w:r>
              <w:rPr>
                <w:sz w:val="18"/>
              </w:rPr>
              <w:t>Behavioral Zones</w:t>
            </w:r>
          </w:p>
        </w:tc>
        <w:tc>
          <w:tcPr>
            <w:tcW w:type="dxa" w:w="7200"/>
            <w:shd w:fill="EAF0F6"/>
          </w:tcPr>
          <w:p>
            <w:r>
              <w:rPr>
                <w:sz w:val="18"/>
              </w:rPr>
              <w:t>Travel patterns, Communication frequency/timing, Financial transactions,</w:t>
              <w:br/>
              <w:t>Social contact network, Access to classified information, Cover activities</w:t>
            </w:r>
          </w:p>
        </w:tc>
      </w:tr>
      <w:tr>
        <w:tc>
          <w:tcPr>
            <w:tcW w:type="dxa" w:w="2160"/>
          </w:tcPr>
          <w:p>
            <w:r>
              <w:rPr>
                <w:sz w:val="18"/>
              </w:rPr>
              <w:t>Key Relationships</w:t>
            </w:r>
          </w:p>
        </w:tc>
        <w:tc>
          <w:tcPr>
            <w:tcW w:type="dxa" w:w="7200"/>
          </w:tcPr>
          <w:p>
            <w:r>
              <w:rPr>
                <w:sz w:val="18"/>
              </w:rPr>
              <w:t>Person×Person (who meets whom, communication patterns),</w:t>
              <w:br/>
              <w:t>Person×Location (dead drop sites, meeting points, travel overlap),</w:t>
              <w:br/>
              <w:t>Person×Organization (affiliation changes, cover employment),</w:t>
              <w:br/>
              <w:t>Person×Financial entity (unusual funding sources)</w:t>
            </w:r>
          </w:p>
        </w:tc>
      </w:tr>
      <w:tr>
        <w:tc>
          <w:tcPr>
            <w:tcW w:type="dxa" w:w="2160"/>
            <w:shd w:fill="EAF0F6"/>
          </w:tcPr>
          <w:p>
            <w:r>
              <w:rPr>
                <w:sz w:val="18"/>
              </w:rPr>
              <w:t>Network Analysis</w:t>
            </w:r>
          </w:p>
        </w:tc>
        <w:tc>
          <w:tcPr>
            <w:tcW w:type="dxa" w:w="7200"/>
            <w:shd w:fill="EAF0F6"/>
          </w:tcPr>
          <w:p>
            <w:r>
              <w:rPr>
                <w:sz w:val="18"/>
              </w:rPr>
              <w:t>Handler → Agent → Sub-agent chains;</w:t>
              <w:br/>
              <w:t>Communication network topology changes (new nodes, dropped contacts);</w:t>
              <w:br/>
              <w:t>Travel pattern correlation between seemingly unconnected individuals</w:t>
            </w:r>
          </w:p>
        </w:tc>
      </w:tr>
      <w:tr>
        <w:tc>
          <w:tcPr>
            <w:tcW w:type="dxa" w:w="2160"/>
          </w:tcPr>
          <w:p>
            <w:r>
              <w:rPr>
                <w:sz w:val="18"/>
              </w:rPr>
              <w:t>Sequence Analysis</w:t>
            </w:r>
          </w:p>
        </w:tc>
        <w:tc>
          <w:tcPr>
            <w:tcW w:type="dxa" w:w="7200"/>
          </w:tcPr>
          <w:p>
            <w:r>
              <w:rPr>
                <w:sz w:val="18"/>
              </w:rPr>
              <w:t>Recruitment → Assessment → Development → Handling follows</w:t>
              <w:br/>
              <w:t>known intelligence tradecraft progression;</w:t>
              <w:br/>
              <w:t>Travel → Meeting → Communication → Financial activity sequence</w:t>
            </w:r>
          </w:p>
        </w:tc>
      </w:tr>
      <w:tr>
        <w:tc>
          <w:tcPr>
            <w:tcW w:type="dxa" w:w="2160"/>
            <w:shd w:fill="EAF0F6"/>
          </w:tcPr>
          <w:p>
            <w:r>
              <w:rPr>
                <w:sz w:val="18"/>
              </w:rPr>
              <w:t>Anomaly Detected</w:t>
            </w:r>
          </w:p>
        </w:tc>
        <w:tc>
          <w:tcPr>
            <w:tcW w:type="dxa" w:w="7200"/>
            <w:shd w:fill="EAF0F6"/>
          </w:tcPr>
          <w:p>
            <w:r>
              <w:rPr>
                <w:sz w:val="18"/>
              </w:rPr>
              <w:t>Diplomat's travel pattern begins overlapping with known intelligence</w:t>
              <w:br/>
              <w:t>officer's movements — coordination signal invisible to individual monitoring;</w:t>
              <w:br/>
              <w:t>Person×Financial relationship shows new persistent funding source;</w:t>
              <w:br/>
              <w:t>Communication periodicity matches known covert signaling cadences</w:t>
            </w:r>
          </w:p>
        </w:tc>
      </w:tr>
    </w:tbl>
    <w:p/>
    <w:p>
      <w:pPr>
        <w:pStyle w:val="Heading2"/>
      </w:pPr>
      <w:r>
        <w:rPr>
          <w:color w:val="1B4F72"/>
        </w:rPr>
        <w:t>6.8. Anti-Money Laundering — Financial Crime Detection</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Account, Beneficial owner, Shell company, Correspondent bank, Jurisdiction</w:t>
            </w:r>
          </w:p>
        </w:tc>
      </w:tr>
      <w:tr>
        <w:tc>
          <w:tcPr>
            <w:tcW w:type="dxa" w:w="2160"/>
            <w:shd w:fill="EAF0F6"/>
          </w:tcPr>
          <w:p>
            <w:r>
              <w:rPr>
                <w:sz w:val="18"/>
              </w:rPr>
              <w:t>Behavioral Zones</w:t>
            </w:r>
          </w:p>
        </w:tc>
        <w:tc>
          <w:tcPr>
            <w:tcW w:type="dxa" w:w="7200"/>
            <w:shd w:fill="EAF0F6"/>
          </w:tcPr>
          <w:p>
            <w:r>
              <w:rPr>
                <w:sz w:val="18"/>
              </w:rPr>
              <w:t>Transaction velocity, Counterparty geography, Amount distribution,</w:t>
              <w:br/>
              <w:t>Timing patterns, Currency mix, Account lifecycle stage</w:t>
            </w:r>
          </w:p>
        </w:tc>
      </w:tr>
      <w:tr>
        <w:tc>
          <w:tcPr>
            <w:tcW w:type="dxa" w:w="2160"/>
          </w:tcPr>
          <w:p>
            <w:r>
              <w:rPr>
                <w:sz w:val="18"/>
              </w:rPr>
              <w:t>Key Relationships</w:t>
            </w:r>
          </w:p>
        </w:tc>
        <w:tc>
          <w:tcPr>
            <w:tcW w:type="dxa" w:w="7200"/>
          </w:tcPr>
          <w:p>
            <w:r>
              <w:rPr>
                <w:sz w:val="18"/>
              </w:rPr>
              <w:t>Account×Account (transfer chains, round-tripping),</w:t>
              <w:br/>
              <w:t>Company×Company (ownership layers, shared directors),</w:t>
              <w:br/>
              <w:t>Account×Geography (jurisdiction risk scoring),</w:t>
              <w:br/>
              <w:t>Beneficial owner×Shell company (control networks)</w:t>
            </w:r>
          </w:p>
        </w:tc>
      </w:tr>
      <w:tr>
        <w:tc>
          <w:tcPr>
            <w:tcW w:type="dxa" w:w="2160"/>
            <w:shd w:fill="EAF0F6"/>
          </w:tcPr>
          <w:p>
            <w:r>
              <w:rPr>
                <w:sz w:val="18"/>
              </w:rPr>
              <w:t>Sequence Analysis</w:t>
            </w:r>
          </w:p>
        </w:tc>
        <w:tc>
          <w:tcPr>
            <w:tcW w:type="dxa" w:w="7200"/>
            <w:shd w:fill="EAF0F6"/>
          </w:tcPr>
          <w:p>
            <w:r>
              <w:rPr>
                <w:sz w:val="18"/>
              </w:rPr>
              <w:t>Placement (cash entry) → Layering (transfer chain) →</w:t>
              <w:br/>
              <w:t>Integration (legitimate-appearing investment);</w:t>
              <w:br/>
              <w:t>Each stage has distinct behavioral signatures</w:t>
            </w:r>
          </w:p>
        </w:tc>
      </w:tr>
      <w:tr>
        <w:tc>
          <w:tcPr>
            <w:tcW w:type="dxa" w:w="2160"/>
          </w:tcPr>
          <w:p>
            <w:r>
              <w:rPr>
                <w:sz w:val="18"/>
              </w:rPr>
              <w:t>Anomaly Detected</w:t>
            </w:r>
          </w:p>
        </w:tc>
        <w:tc>
          <w:tcPr>
            <w:tcW w:type="dxa" w:w="7200"/>
          </w:tcPr>
          <w:p>
            <w:r>
              <w:rPr>
                <w:sz w:val="18"/>
              </w:rPr>
              <w:t>Account maintains normal total volume but gradually shifts counterparty</w:t>
              <w:br/>
              <w:t>geography toward sanctioned jurisdictions over 6 months — each individual</w:t>
              <w:br/>
              <w:t>transaction is below reporting thresholds;</w:t>
              <w:br/>
              <w:t>Company×Company ownership network reveals circular structures;</w:t>
              <w:br/>
              <w:t>Account×Timing periodicity matches structuring patterns</w:t>
            </w:r>
          </w:p>
        </w:tc>
      </w:tr>
    </w:tbl>
    <w:p/>
    <w:p>
      <w:pPr>
        <w:pStyle w:val="Heading2"/>
      </w:pPr>
      <w:r>
        <w:rPr>
          <w:color w:val="1B4F72"/>
        </w:rPr>
        <w:t>6.9. Counter-Terrorism — Network Disruption</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Suspect, Cell member, Facilitator, Financial supporter, Location</w:t>
            </w:r>
          </w:p>
        </w:tc>
      </w:tr>
      <w:tr>
        <w:tc>
          <w:tcPr>
            <w:tcW w:type="dxa" w:w="2160"/>
            <w:shd w:fill="EAF0F6"/>
          </w:tcPr>
          <w:p>
            <w:r>
              <w:rPr>
                <w:sz w:val="18"/>
              </w:rPr>
              <w:t>Behavioral Zones</w:t>
            </w:r>
          </w:p>
        </w:tc>
        <w:tc>
          <w:tcPr>
            <w:tcW w:type="dxa" w:w="7200"/>
            <w:shd w:fill="EAF0F6"/>
          </w:tcPr>
          <w:p>
            <w:r>
              <w:rPr>
                <w:sz w:val="18"/>
              </w:rPr>
              <w:t>Travel patterns, Communication activity, Financial flows,</w:t>
              <w:br/>
              <w:t>Procurement patterns, Online activity, Social network changes</w:t>
            </w:r>
          </w:p>
        </w:tc>
      </w:tr>
      <w:tr>
        <w:tc>
          <w:tcPr>
            <w:tcW w:type="dxa" w:w="2160"/>
          </w:tcPr>
          <w:p>
            <w:r>
              <w:rPr>
                <w:sz w:val="18"/>
              </w:rPr>
              <w:t>Key Relationships</w:t>
            </w:r>
          </w:p>
        </w:tc>
        <w:tc>
          <w:tcPr>
            <w:tcW w:type="dxa" w:w="7200"/>
          </w:tcPr>
          <w:p>
            <w:r>
              <w:rPr>
                <w:sz w:val="18"/>
              </w:rPr>
              <w:t>Person×Person (communication network, meeting patterns),</w:t>
              <w:br/>
              <w:t>Person×Location (training sites, reconnaissance targets),</w:t>
              <w:br/>
              <w:t>Person×Financial entity (funding chains, hawala networks),</w:t>
              <w:br/>
              <w:t>Cell×Cell (inter-cell coordination signals)</w:t>
            </w:r>
          </w:p>
        </w:tc>
      </w:tr>
      <w:tr>
        <w:tc>
          <w:tcPr>
            <w:tcW w:type="dxa" w:w="2160"/>
            <w:shd w:fill="EAF0F6"/>
          </w:tcPr>
          <w:p>
            <w:r>
              <w:rPr>
                <w:sz w:val="18"/>
              </w:rPr>
              <w:t>Sequence Analysis</w:t>
            </w:r>
          </w:p>
        </w:tc>
        <w:tc>
          <w:tcPr>
            <w:tcW w:type="dxa" w:w="7200"/>
            <w:shd w:fill="EAF0F6"/>
          </w:tcPr>
          <w:p>
            <w:r>
              <w:rPr>
                <w:sz w:val="18"/>
              </w:rPr>
              <w:t>Radicalization → Planning → Preparation → Execution stages;</w:t>
              <w:br/>
              <w:t>Procurement of specific materials in specific sequence;</w:t>
              <w:br/>
              <w:t>Communication pattern changes as operational date approaches</w:t>
            </w:r>
          </w:p>
        </w:tc>
      </w:tr>
      <w:tr>
        <w:tc>
          <w:tcPr>
            <w:tcW w:type="dxa" w:w="2160"/>
          </w:tcPr>
          <w:p>
            <w:r>
              <w:rPr>
                <w:sz w:val="18"/>
              </w:rPr>
              <w:t>Anomaly Detected</w:t>
            </w:r>
          </w:p>
        </w:tc>
        <w:tc>
          <w:tcPr>
            <w:tcW w:type="dxa" w:w="7200"/>
          </w:tcPr>
          <w:p>
            <w:r>
              <w:rPr>
                <w:sz w:val="18"/>
              </w:rPr>
              <w:t>Cell member's communication network suddenly contracts (operational security</w:t>
              <w:br/>
              <w:t>tightening before action); Financial supporter's transfer pattern shifts to</w:t>
              <w:br/>
              <w:t>new recipients in target geography; Procurement sequence matches known</w:t>
              <w:br/>
              <w:t>attack preparation patterns</w:t>
            </w:r>
          </w:p>
        </w:tc>
      </w:tr>
    </w:tbl>
    <w:p/>
    <w:p>
      <w:pPr>
        <w:pStyle w:val="Heading2"/>
      </w:pPr>
      <w:r>
        <w:rPr>
          <w:color w:val="1B4F72"/>
        </w:rPr>
        <w:t>6.10. Counter-Narcotics — Trafficking Pattern Detection</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Smuggler, Courier, Distributor, Financial facilitator,</w:t>
              <w:br/>
              <w:t>Transport vehicle, Route corridor</w:t>
            </w:r>
          </w:p>
        </w:tc>
      </w:tr>
      <w:tr>
        <w:tc>
          <w:tcPr>
            <w:tcW w:type="dxa" w:w="2160"/>
            <w:shd w:fill="EAF0F6"/>
          </w:tcPr>
          <w:p>
            <w:r>
              <w:rPr>
                <w:sz w:val="18"/>
              </w:rPr>
              <w:t>Behavioral Zones</w:t>
            </w:r>
          </w:p>
        </w:tc>
        <w:tc>
          <w:tcPr>
            <w:tcW w:type="dxa" w:w="7200"/>
            <w:shd w:fill="EAF0F6"/>
          </w:tcPr>
          <w:p>
            <w:r>
              <w:rPr>
                <w:sz w:val="18"/>
              </w:rPr>
              <w:t>Travel routes, Shipment timing, Financial flows,</w:t>
              <w:br/>
              <w:t>Communication patterns, Vehicle usage, Storage facility activity</w:t>
            </w:r>
          </w:p>
        </w:tc>
      </w:tr>
      <w:tr>
        <w:tc>
          <w:tcPr>
            <w:tcW w:type="dxa" w:w="2160"/>
          </w:tcPr>
          <w:p>
            <w:r>
              <w:rPr>
                <w:sz w:val="18"/>
              </w:rPr>
              <w:t>Key Relationships</w:t>
            </w:r>
          </w:p>
        </w:tc>
        <w:tc>
          <w:tcPr>
            <w:tcW w:type="dxa" w:w="7200"/>
          </w:tcPr>
          <w:p>
            <w:r>
              <w:rPr>
                <w:sz w:val="18"/>
              </w:rPr>
              <w:t>Person×Route (trafficking corridor usage),</w:t>
              <w:br/>
              <w:t>Person×Person (distribution network),</w:t>
              <w:br/>
              <w:t>Vehicle×Route×Timing (transport patterns),</w:t>
              <w:br/>
              <w:t>Financial entity×Geography (proceeds laundering paths)</w:t>
            </w:r>
          </w:p>
        </w:tc>
      </w:tr>
      <w:tr>
        <w:tc>
          <w:tcPr>
            <w:tcW w:type="dxa" w:w="2160"/>
            <w:shd w:fill="EAF0F6"/>
          </w:tcPr>
          <w:p>
            <w:r>
              <w:rPr>
                <w:sz w:val="18"/>
              </w:rPr>
              <w:t>Periodicity Analysis</w:t>
            </w:r>
          </w:p>
        </w:tc>
        <w:tc>
          <w:tcPr>
            <w:tcW w:type="dxa" w:w="7200"/>
            <w:shd w:fill="EAF0F6"/>
          </w:tcPr>
          <w:p>
            <w:r>
              <w:rPr>
                <w:sz w:val="18"/>
              </w:rPr>
              <w:t>Trafficking follows harvest/production cycles (3-week, seasonal);</w:t>
              <w:br/>
              <w:t>Detecting the cadence enables interdiction timing prediction;</w:t>
              <w:br/>
              <w:t>Rhythm disruption indicates law enforcement pressure or route change</w:t>
            </w:r>
          </w:p>
        </w:tc>
      </w:tr>
      <w:tr>
        <w:tc>
          <w:tcPr>
            <w:tcW w:type="dxa" w:w="2160"/>
          </w:tcPr>
          <w:p>
            <w:r>
              <w:rPr>
                <w:sz w:val="18"/>
              </w:rPr>
              <w:t>Anomaly Detected</w:t>
            </w:r>
          </w:p>
        </w:tc>
        <w:tc>
          <w:tcPr>
            <w:tcW w:type="dxa" w:w="7200"/>
          </w:tcPr>
          <w:p>
            <w:r>
              <w:rPr>
                <w:sz w:val="18"/>
              </w:rPr>
              <w:t>New travel route appears that correlates with known trafficking corridor</w:t>
              <w:br/>
              <w:t>timing; Courier×Route relationship suddenly changes (route burned);</w:t>
              <w:br/>
              <w:t>Financial flow periodicity shifts (new laundering mechanism);</w:t>
              <w:br/>
              <w:t>Distribution network topology changes (new nodes = expansion)</w:t>
            </w:r>
          </w:p>
        </w:tc>
      </w:tr>
    </w:tbl>
    <w:p/>
    <w:p>
      <w:pPr>
        <w:pStyle w:val="Heading2"/>
      </w:pPr>
      <w:r>
        <w:rPr>
          <w:color w:val="1B4F72"/>
        </w:rPr>
        <w:t>6.11. Energy and Critical Infrastructure</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Substation, Smart meter, Generation facility, SCADA controller,</w:t>
              <w:br/>
              <w:t>Grid operator</w:t>
            </w:r>
          </w:p>
        </w:tc>
      </w:tr>
      <w:tr>
        <w:tc>
          <w:tcPr>
            <w:tcW w:type="dxa" w:w="2160"/>
            <w:shd w:fill="EAF0F6"/>
          </w:tcPr>
          <w:p>
            <w:r>
              <w:rPr>
                <w:sz w:val="18"/>
              </w:rPr>
              <w:t>Behavioral Zones</w:t>
            </w:r>
          </w:p>
        </w:tc>
        <w:tc>
          <w:tcPr>
            <w:tcW w:type="dxa" w:w="7200"/>
            <w:shd w:fill="EAF0F6"/>
          </w:tcPr>
          <w:p>
            <w:r>
              <w:rPr>
                <w:sz w:val="18"/>
              </w:rPr>
              <w:t>Load profile shape, Voltage stability, Harmonic distortion,</w:t>
              <w:br/>
              <w:t>Consumption curve, Communication patterns (for SCADA/ICS)</w:t>
            </w:r>
          </w:p>
        </w:tc>
      </w:tr>
      <w:tr>
        <w:tc>
          <w:tcPr>
            <w:tcW w:type="dxa" w:w="2160"/>
          </w:tcPr>
          <w:p>
            <w:r>
              <w:rPr>
                <w:sz w:val="18"/>
              </w:rPr>
              <w:t>Key Relationships</w:t>
            </w:r>
          </w:p>
        </w:tc>
        <w:tc>
          <w:tcPr>
            <w:tcW w:type="dxa" w:w="7200"/>
          </w:tcPr>
          <w:p>
            <w:r>
              <w:rPr>
                <w:sz w:val="18"/>
              </w:rPr>
              <w:t>Meter×Grid segment (consumption vs generation balance),</w:t>
              <w:br/>
              <w:t>Controller×Protocol (SCADA command patterns),</w:t>
              <w:br/>
              <w:t>Facility×Weather (expected vs actual load correlation)</w:t>
            </w:r>
          </w:p>
        </w:tc>
      </w:tr>
      <w:tr>
        <w:tc>
          <w:tcPr>
            <w:tcW w:type="dxa" w:w="2160"/>
            <w:shd w:fill="EAF0F6"/>
          </w:tcPr>
          <w:p>
            <w:r>
              <w:rPr>
                <w:sz w:val="18"/>
              </w:rPr>
              <w:t>Anomaly Detected</w:t>
            </w:r>
          </w:p>
        </w:tc>
        <w:tc>
          <w:tcPr>
            <w:tcW w:type="dxa" w:w="7200"/>
            <w:shd w:fill="EAF0F6"/>
          </w:tcPr>
          <w:p>
            <w:r>
              <w:rPr>
                <w:sz w:val="18"/>
              </w:rPr>
              <w:t>Smart meter's consumption curve shape changes (same total kWh, different</w:t>
              <w:br/>
              <w:t>time-of-use profile) = energy theft or equipment degradation;</w:t>
              <w:br/>
              <w:t>SCADA controller's communication pattern subtly shifts = potential cyber attack</w:t>
              <w:br/>
              <w:t>(Stuxnet-style behavioral modification);</w:t>
              <w:br/>
              <w:t>Substation load-to-weather correlation drifts = equipment degradation</w:t>
            </w:r>
          </w:p>
        </w:tc>
      </w:tr>
    </w:tbl>
    <w:p/>
    <w:p>
      <w:pPr>
        <w:pStyle w:val="Heading2"/>
      </w:pPr>
      <w:r>
        <w:rPr>
          <w:color w:val="1B4F72"/>
        </w:rPr>
        <w:t>6.12. Workforce Analytics — Retention and Insider Risk</w:t>
      </w:r>
    </w:p>
    <w:tbl>
      <w:tblPr>
        <w:tblStyle w:val="LightGrid-Accent1"/>
        <w:tblW w:type="auto" w:w="0"/>
        <w:jc w:val="center"/>
        <w:tblLook w:firstColumn="1" w:firstRow="1" w:lastColumn="0" w:lastRow="0" w:noHBand="0" w:noVBand="1" w:val="04A0"/>
      </w:tblPr>
      <w:tblGrid>
        <w:gridCol w:w="4703"/>
        <w:gridCol w:w="4703"/>
      </w:tblGrid>
      <w:tr>
        <w:tc>
          <w:tcPr>
            <w:tcW w:type="dxa" w:w="2160"/>
            <w:shd w:fill="0D1B2A"/>
          </w:tcPr>
          <w:p>
            <w:pPr>
              <w:jc w:val="center"/>
            </w:pPr>
            <w:r>
              <w:rPr>
                <w:b/>
                <w:color w:val="FFFFFF"/>
                <w:sz w:val="18"/>
              </w:rPr>
              <w:t>Component</w:t>
            </w:r>
          </w:p>
        </w:tc>
        <w:tc>
          <w:tcPr>
            <w:tcW w:type="dxa" w:w="7200"/>
            <w:shd w:fill="0D1B2A"/>
          </w:tcPr>
          <w:p>
            <w:pPr>
              <w:jc w:val="center"/>
            </w:pPr>
            <w:r>
              <w:rPr>
                <w:b/>
                <w:color w:val="FFFFFF"/>
                <w:sz w:val="18"/>
              </w:rPr>
              <w:t>Definition</w:t>
            </w:r>
          </w:p>
        </w:tc>
      </w:tr>
      <w:tr>
        <w:tc>
          <w:tcPr>
            <w:tcW w:type="dxa" w:w="2160"/>
          </w:tcPr>
          <w:p>
            <w:r>
              <w:rPr>
                <w:sz w:val="18"/>
              </w:rPr>
              <w:t>Primary Entities</w:t>
            </w:r>
          </w:p>
        </w:tc>
        <w:tc>
          <w:tcPr>
            <w:tcW w:type="dxa" w:w="7200"/>
          </w:tcPr>
          <w:p>
            <w:r>
              <w:rPr>
                <w:sz w:val="18"/>
              </w:rPr>
              <w:t>Employee, Team, Project, Manager</w:t>
            </w:r>
          </w:p>
        </w:tc>
      </w:tr>
      <w:tr>
        <w:tc>
          <w:tcPr>
            <w:tcW w:type="dxa" w:w="2160"/>
            <w:shd w:fill="EAF0F6"/>
          </w:tcPr>
          <w:p>
            <w:r>
              <w:rPr>
                <w:sz w:val="18"/>
              </w:rPr>
              <w:t>Behavioral Zones</w:t>
            </w:r>
          </w:p>
        </w:tc>
        <w:tc>
          <w:tcPr>
            <w:tcW w:type="dxa" w:w="7200"/>
            <w:shd w:fill="EAF0F6"/>
          </w:tcPr>
          <w:p>
            <w:r>
              <w:rPr>
                <w:sz w:val="18"/>
              </w:rPr>
              <w:t>Productivity output, Collaboration network breadth,</w:t>
              <w:br/>
              <w:t>Tool/system usage, Schedule patterns, Communication frequency</w:t>
            </w:r>
          </w:p>
        </w:tc>
      </w:tr>
      <w:tr>
        <w:tc>
          <w:tcPr>
            <w:tcW w:type="dxa" w:w="2160"/>
          </w:tcPr>
          <w:p>
            <w:r>
              <w:rPr>
                <w:sz w:val="18"/>
              </w:rPr>
              <w:t>Key Relationships</w:t>
            </w:r>
          </w:p>
        </w:tc>
        <w:tc>
          <w:tcPr>
            <w:tcW w:type="dxa" w:w="7200"/>
          </w:tcPr>
          <w:p>
            <w:r>
              <w:rPr>
                <w:sz w:val="18"/>
              </w:rPr>
              <w:t>Employee×Team (engagement with team activities),</w:t>
              <w:br/>
              <w:t>Employee×Project (contribution patterns),</w:t>
              <w:br/>
              <w:t>Employee×Manager (communication frequency and sentiment trajectory)</w:t>
            </w:r>
          </w:p>
        </w:tc>
      </w:tr>
      <w:tr>
        <w:tc>
          <w:tcPr>
            <w:tcW w:type="dxa" w:w="2160"/>
            <w:shd w:fill="EAF0F6"/>
          </w:tcPr>
          <w:p>
            <w:r>
              <w:rPr>
                <w:sz w:val="18"/>
              </w:rPr>
              <w:t>Anomaly Detected</w:t>
            </w:r>
          </w:p>
        </w:tc>
        <w:tc>
          <w:tcPr>
            <w:tcW w:type="dxa" w:w="7200"/>
            <w:shd w:fill="EAF0F6"/>
          </w:tcPr>
          <w:p>
            <w:r>
              <w:rPr>
                <w:sz w:val="18"/>
              </w:rPr>
              <w:t>Employee's collaboration network shrinks 40% over 3 months while</w:t>
              <w:br/>
              <w:t>productivity stays flat = flight risk or disengagement;</w:t>
              <w:br/>
              <w:t>Employee×Manager communication frequency drops = management relationship issue;</w:t>
              <w:br/>
              <w:t>Employee's system access pattern shifts to include HR and job posting systems</w:t>
            </w:r>
          </w:p>
        </w:tc>
      </w:tr>
    </w:tbl>
    <w:p/>
    <w:p>
      <w:r>
        <w:br w:type="page"/>
      </w:r>
    </w:p>
    <w:p>
      <w:pPr>
        <w:pStyle w:val="Heading1"/>
      </w:pPr>
      <w:r>
        <w:rPr>
          <w:color w:val="0D1B2A"/>
        </w:rPr>
        <w:t>7. Data Requirements by Domain</w:t>
      </w:r>
    </w:p>
    <w:p>
      <w:pPr>
        <w:spacing w:after="120"/>
      </w:pPr>
      <w:r>
        <w:rPr>
          <w:b w:val="0"/>
          <w:i w:val="0"/>
          <w:color w:val="000000"/>
          <w:sz w:val="21"/>
        </w:rPr>
        <w:t>Each domain requires specific data sources to populate the nine BEI dimensions. The framework is designed to work with existing organizational data — no new instrumentation is required in most cases.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Domain</w:t>
            </w:r>
          </w:p>
        </w:tc>
        <w:tc>
          <w:tcPr>
            <w:tcW w:type="dxa" w:w="3600"/>
            <w:shd w:fill="0D1B2A"/>
          </w:tcPr>
          <w:p>
            <w:pPr>
              <w:jc w:val="center"/>
            </w:pPr>
            <w:r>
              <w:rPr>
                <w:b/>
                <w:color w:val="FFFFFF"/>
                <w:sz w:val="18"/>
              </w:rPr>
              <w:t>Minimum Data Sources</w:t>
            </w:r>
          </w:p>
        </w:tc>
        <w:tc>
          <w:tcPr>
            <w:tcW w:type="dxa" w:w="1152"/>
            <w:shd w:fill="0D1B2A"/>
          </w:tcPr>
          <w:p>
            <w:pPr>
              <w:jc w:val="center"/>
            </w:pPr>
            <w:r>
              <w:rPr>
                <w:b/>
                <w:color w:val="FFFFFF"/>
                <w:sz w:val="18"/>
              </w:rPr>
              <w:t>Observation</w:t>
              <w:br/>
              <w:t>Cadence</w:t>
            </w:r>
          </w:p>
        </w:tc>
        <w:tc>
          <w:tcPr>
            <w:tcW w:type="dxa" w:w="1152"/>
            <w:shd w:fill="0D1B2A"/>
          </w:tcPr>
          <w:p>
            <w:pPr>
              <w:jc w:val="center"/>
            </w:pPr>
            <w:r>
              <w:rPr>
                <w:b/>
                <w:color w:val="FFFFFF"/>
                <w:sz w:val="18"/>
              </w:rPr>
              <w:t>Baseline</w:t>
              <w:br/>
              <w:t>Period</w:t>
            </w:r>
          </w:p>
        </w:tc>
      </w:tr>
      <w:tr>
        <w:tc>
          <w:tcPr>
            <w:tcW w:type="dxa" w:w="1440"/>
          </w:tcPr>
          <w:p>
            <w:r>
              <w:rPr>
                <w:sz w:val="18"/>
              </w:rPr>
              <w:t>Cybersecurity</w:t>
            </w:r>
          </w:p>
        </w:tc>
        <w:tc>
          <w:tcPr>
            <w:tcW w:type="dxa" w:w="3600"/>
          </w:tcPr>
          <w:p>
            <w:r>
              <w:rPr>
                <w:sz w:val="18"/>
              </w:rPr>
              <w:t>Auth logs, file access, network flow,</w:t>
              <w:br/>
              <w:t>DNS, endpoint telemetry</w:t>
            </w:r>
          </w:p>
        </w:tc>
        <w:tc>
          <w:tcPr>
            <w:tcW w:type="dxa" w:w="1152"/>
          </w:tcPr>
          <w:p>
            <w:r>
              <w:rPr>
                <w:sz w:val="18"/>
              </w:rPr>
              <w:t>Weekly</w:t>
            </w:r>
          </w:p>
        </w:tc>
        <w:tc>
          <w:tcPr>
            <w:tcW w:type="dxa" w:w="1152"/>
          </w:tcPr>
          <w:p>
            <w:r>
              <w:rPr>
                <w:sz w:val="18"/>
              </w:rPr>
              <w:t>6-8 weeks</w:t>
            </w:r>
          </w:p>
        </w:tc>
      </w:tr>
      <w:tr>
        <w:tc>
          <w:tcPr>
            <w:tcW w:type="dxa" w:w="1440"/>
            <w:shd w:fill="EAF0F6"/>
          </w:tcPr>
          <w:p>
            <w:r>
              <w:rPr>
                <w:sz w:val="18"/>
              </w:rPr>
              <w:t>Supply Chain</w:t>
            </w:r>
          </w:p>
        </w:tc>
        <w:tc>
          <w:tcPr>
            <w:tcW w:type="dxa" w:w="3600"/>
            <w:shd w:fill="EAF0F6"/>
          </w:tcPr>
          <w:p>
            <w:r>
              <w:rPr>
                <w:sz w:val="18"/>
              </w:rPr>
              <w:t>Procurement transactions, delivery records,</w:t>
              <w:br/>
              <w:t>quality inspections, COO declarations</w:t>
            </w:r>
          </w:p>
        </w:tc>
        <w:tc>
          <w:tcPr>
            <w:tcW w:type="dxa" w:w="1152"/>
            <w:shd w:fill="EAF0F6"/>
          </w:tcPr>
          <w:p>
            <w:r>
              <w:rPr>
                <w:sz w:val="18"/>
              </w:rPr>
              <w:t>Weekly/</w:t>
              <w:br/>
              <w:t>Monthly</w:t>
            </w:r>
          </w:p>
        </w:tc>
        <w:tc>
          <w:tcPr>
            <w:tcW w:type="dxa" w:w="1152"/>
            <w:shd w:fill="EAF0F6"/>
          </w:tcPr>
          <w:p>
            <w:r>
              <w:rPr>
                <w:sz w:val="18"/>
              </w:rPr>
              <w:t>6 months</w:t>
            </w:r>
          </w:p>
        </w:tc>
      </w:tr>
      <w:tr>
        <w:tc>
          <w:tcPr>
            <w:tcW w:type="dxa" w:w="1440"/>
          </w:tcPr>
          <w:p>
            <w:r>
              <w:rPr>
                <w:sz w:val="18"/>
              </w:rPr>
              <w:t>Maintenance</w:t>
            </w:r>
          </w:p>
        </w:tc>
        <w:tc>
          <w:tcPr>
            <w:tcW w:type="dxa" w:w="3600"/>
          </w:tcPr>
          <w:p>
            <w:r>
              <w:rPr>
                <w:sz w:val="18"/>
              </w:rPr>
              <w:t>IoT sensors, maintenance logs, CMMS,</w:t>
              <w:br/>
              <w:t>fluid analysis, operational data</w:t>
            </w:r>
          </w:p>
        </w:tc>
        <w:tc>
          <w:tcPr>
            <w:tcW w:type="dxa" w:w="1152"/>
          </w:tcPr>
          <w:p>
            <w:r>
              <w:rPr>
                <w:sz w:val="18"/>
              </w:rPr>
              <w:t>Daily/</w:t>
              <w:br/>
              <w:t>Weekly</w:t>
            </w:r>
          </w:p>
        </w:tc>
        <w:tc>
          <w:tcPr>
            <w:tcW w:type="dxa" w:w="1152"/>
          </w:tcPr>
          <w:p>
            <w:r>
              <w:rPr>
                <w:sz w:val="18"/>
              </w:rPr>
              <w:t>3-6 months</w:t>
            </w:r>
          </w:p>
        </w:tc>
      </w:tr>
      <w:tr>
        <w:tc>
          <w:tcPr>
            <w:tcW w:type="dxa" w:w="1440"/>
            <w:shd w:fill="EAF0F6"/>
          </w:tcPr>
          <w:p>
            <w:r>
              <w:rPr>
                <w:sz w:val="18"/>
              </w:rPr>
              <w:t>Healthcare</w:t>
            </w:r>
          </w:p>
        </w:tc>
        <w:tc>
          <w:tcPr>
            <w:tcW w:type="dxa" w:w="3600"/>
            <w:shd w:fill="EAF0F6"/>
          </w:tcPr>
          <w:p>
            <w:r>
              <w:rPr>
                <w:sz w:val="18"/>
              </w:rPr>
              <w:t>Claims data (CMS/private), EHR records,</w:t>
              <w:br/>
              <w:t>NPI registry, referral data</w:t>
            </w:r>
          </w:p>
        </w:tc>
        <w:tc>
          <w:tcPr>
            <w:tcW w:type="dxa" w:w="1152"/>
            <w:shd w:fill="EAF0F6"/>
          </w:tcPr>
          <w:p>
            <w:r>
              <w:rPr>
                <w:sz w:val="18"/>
              </w:rPr>
              <w:t>Monthly</w:t>
            </w:r>
          </w:p>
        </w:tc>
        <w:tc>
          <w:tcPr>
            <w:tcW w:type="dxa" w:w="1152"/>
            <w:shd w:fill="EAF0F6"/>
          </w:tcPr>
          <w:p>
            <w:r>
              <w:rPr>
                <w:sz w:val="18"/>
              </w:rPr>
              <w:t>12 months</w:t>
            </w:r>
          </w:p>
        </w:tc>
      </w:tr>
      <w:tr>
        <w:tc>
          <w:tcPr>
            <w:tcW w:type="dxa" w:w="1440"/>
          </w:tcPr>
          <w:p>
            <w:r>
              <w:rPr>
                <w:sz w:val="18"/>
              </w:rPr>
              <w:t>Insurance</w:t>
            </w:r>
          </w:p>
        </w:tc>
        <w:tc>
          <w:tcPr>
            <w:tcW w:type="dxa" w:w="3600"/>
          </w:tcPr>
          <w:p>
            <w:r>
              <w:rPr>
                <w:sz w:val="18"/>
              </w:rPr>
              <w:t>Claims submissions, adjuster records,</w:t>
              <w:br/>
              <w:t>vendor invoices, certification logs</w:t>
            </w:r>
          </w:p>
        </w:tc>
        <w:tc>
          <w:tcPr>
            <w:tcW w:type="dxa" w:w="1152"/>
          </w:tcPr>
          <w:p>
            <w:r>
              <w:rPr>
                <w:sz w:val="18"/>
              </w:rPr>
              <w:t>Monthly</w:t>
            </w:r>
          </w:p>
        </w:tc>
        <w:tc>
          <w:tcPr>
            <w:tcW w:type="dxa" w:w="1152"/>
          </w:tcPr>
          <w:p>
            <w:r>
              <w:rPr>
                <w:sz w:val="18"/>
              </w:rPr>
              <w:t>12 months</w:t>
            </w:r>
          </w:p>
        </w:tc>
      </w:tr>
      <w:tr>
        <w:tc>
          <w:tcPr>
            <w:tcW w:type="dxa" w:w="1440"/>
            <w:shd w:fill="EAF0F6"/>
          </w:tcPr>
          <w:p>
            <w:r>
              <w:rPr>
                <w:sz w:val="18"/>
              </w:rPr>
              <w:t>Clinical Trials</w:t>
            </w:r>
          </w:p>
        </w:tc>
        <w:tc>
          <w:tcPr>
            <w:tcW w:type="dxa" w:w="3600"/>
            <w:shd w:fill="EAF0F6"/>
          </w:tcPr>
          <w:p>
            <w:r>
              <w:rPr>
                <w:sz w:val="18"/>
              </w:rPr>
              <w:t>EDC data, lab results, AE reports,</w:t>
              <w:br/>
              <w:t>visit logs, drug accountability</w:t>
            </w:r>
          </w:p>
        </w:tc>
        <w:tc>
          <w:tcPr>
            <w:tcW w:type="dxa" w:w="1152"/>
            <w:shd w:fill="EAF0F6"/>
          </w:tcPr>
          <w:p>
            <w:r>
              <w:rPr>
                <w:sz w:val="18"/>
              </w:rPr>
              <w:t>Per-visit</w:t>
            </w:r>
          </w:p>
        </w:tc>
        <w:tc>
          <w:tcPr>
            <w:tcW w:type="dxa" w:w="1152"/>
            <w:shd w:fill="EAF0F6"/>
          </w:tcPr>
          <w:p>
            <w:r>
              <w:rPr>
                <w:sz w:val="18"/>
              </w:rPr>
              <w:t>Run-in</w:t>
              <w:br/>
              <w:t>period</w:t>
            </w:r>
          </w:p>
        </w:tc>
      </w:tr>
      <w:tr>
        <w:tc>
          <w:tcPr>
            <w:tcW w:type="dxa" w:w="1440"/>
          </w:tcPr>
          <w:p>
            <w:r>
              <w:rPr>
                <w:sz w:val="18"/>
              </w:rPr>
              <w:t>Counter-Intel</w:t>
            </w:r>
          </w:p>
        </w:tc>
        <w:tc>
          <w:tcPr>
            <w:tcW w:type="dxa" w:w="3600"/>
          </w:tcPr>
          <w:p>
            <w:r>
              <w:rPr>
                <w:sz w:val="18"/>
              </w:rPr>
              <w:t>Travel records, SIGINT, FININT,</w:t>
              <w:br/>
              <w:t>open source, access logs</w:t>
            </w:r>
          </w:p>
        </w:tc>
        <w:tc>
          <w:tcPr>
            <w:tcW w:type="dxa" w:w="1152"/>
          </w:tcPr>
          <w:p>
            <w:r>
              <w:rPr>
                <w:sz w:val="18"/>
              </w:rPr>
              <w:t>Daily/</w:t>
              <w:br/>
              <w:t>Weekly</w:t>
            </w:r>
          </w:p>
        </w:tc>
        <w:tc>
          <w:tcPr>
            <w:tcW w:type="dxa" w:w="1152"/>
          </w:tcPr>
          <w:p>
            <w:r>
              <w:rPr>
                <w:sz w:val="18"/>
              </w:rPr>
              <w:t>6-12</w:t>
              <w:br/>
              <w:t>months</w:t>
            </w:r>
          </w:p>
        </w:tc>
      </w:tr>
      <w:tr>
        <w:tc>
          <w:tcPr>
            <w:tcW w:type="dxa" w:w="1440"/>
            <w:shd w:fill="EAF0F6"/>
          </w:tcPr>
          <w:p>
            <w:r>
              <w:rPr>
                <w:sz w:val="18"/>
              </w:rPr>
              <w:t>AML</w:t>
            </w:r>
          </w:p>
        </w:tc>
        <w:tc>
          <w:tcPr>
            <w:tcW w:type="dxa" w:w="3600"/>
            <w:shd w:fill="EAF0F6"/>
          </w:tcPr>
          <w:p>
            <w:r>
              <w:rPr>
                <w:sz w:val="18"/>
              </w:rPr>
              <w:t>Transaction records, KYC/CDD data,</w:t>
              <w:br/>
              <w:t>ownership registries, SWIFT messages</w:t>
            </w:r>
          </w:p>
        </w:tc>
        <w:tc>
          <w:tcPr>
            <w:tcW w:type="dxa" w:w="1152"/>
            <w:shd w:fill="EAF0F6"/>
          </w:tcPr>
          <w:p>
            <w:r>
              <w:rPr>
                <w:sz w:val="18"/>
              </w:rPr>
              <w:t>Daily</w:t>
            </w:r>
          </w:p>
        </w:tc>
        <w:tc>
          <w:tcPr>
            <w:tcW w:type="dxa" w:w="1152"/>
            <w:shd w:fill="EAF0F6"/>
          </w:tcPr>
          <w:p>
            <w:r>
              <w:rPr>
                <w:sz w:val="18"/>
              </w:rPr>
              <w:t>12 months</w:t>
            </w:r>
          </w:p>
        </w:tc>
      </w:tr>
      <w:tr>
        <w:tc>
          <w:tcPr>
            <w:tcW w:type="dxa" w:w="1440"/>
          </w:tcPr>
          <w:p>
            <w:r>
              <w:rPr>
                <w:sz w:val="18"/>
              </w:rPr>
              <w:t>Counter-Terror</w:t>
            </w:r>
          </w:p>
        </w:tc>
        <w:tc>
          <w:tcPr>
            <w:tcW w:type="dxa" w:w="3600"/>
          </w:tcPr>
          <w:p>
            <w:r>
              <w:rPr>
                <w:sz w:val="18"/>
              </w:rPr>
              <w:t>Travel, SIGINT, FININT, HUMINT,</w:t>
              <w:br/>
              <w:t>procurement records, social media</w:t>
            </w:r>
          </w:p>
        </w:tc>
        <w:tc>
          <w:tcPr>
            <w:tcW w:type="dxa" w:w="1152"/>
          </w:tcPr>
          <w:p>
            <w:r>
              <w:rPr>
                <w:sz w:val="18"/>
              </w:rPr>
              <w:t>Daily</w:t>
            </w:r>
          </w:p>
        </w:tc>
        <w:tc>
          <w:tcPr>
            <w:tcW w:type="dxa" w:w="1152"/>
          </w:tcPr>
          <w:p>
            <w:r>
              <w:rPr>
                <w:sz w:val="18"/>
              </w:rPr>
              <w:t>Ongoing</w:t>
            </w:r>
          </w:p>
        </w:tc>
      </w:tr>
      <w:tr>
        <w:tc>
          <w:tcPr>
            <w:tcW w:type="dxa" w:w="1440"/>
            <w:shd w:fill="EAF0F6"/>
          </w:tcPr>
          <w:p>
            <w:r>
              <w:rPr>
                <w:sz w:val="18"/>
              </w:rPr>
              <w:t>Counter-Narcotics</w:t>
            </w:r>
          </w:p>
        </w:tc>
        <w:tc>
          <w:tcPr>
            <w:tcW w:type="dxa" w:w="3600"/>
            <w:shd w:fill="EAF0F6"/>
          </w:tcPr>
          <w:p>
            <w:r>
              <w:rPr>
                <w:sz w:val="18"/>
              </w:rPr>
              <w:t>Travel, shipment, financial,</w:t>
              <w:br/>
              <w:t>communication, surveillance data</w:t>
            </w:r>
          </w:p>
        </w:tc>
        <w:tc>
          <w:tcPr>
            <w:tcW w:type="dxa" w:w="1152"/>
            <w:shd w:fill="EAF0F6"/>
          </w:tcPr>
          <w:p>
            <w:r>
              <w:rPr>
                <w:sz w:val="18"/>
              </w:rPr>
              <w:t>Daily/</w:t>
              <w:br/>
              <w:t>Weekly</w:t>
            </w:r>
          </w:p>
        </w:tc>
        <w:tc>
          <w:tcPr>
            <w:tcW w:type="dxa" w:w="1152"/>
            <w:shd w:fill="EAF0F6"/>
          </w:tcPr>
          <w:p>
            <w:r>
              <w:rPr>
                <w:sz w:val="18"/>
              </w:rPr>
              <w:t>6 months</w:t>
            </w:r>
          </w:p>
        </w:tc>
      </w:tr>
      <w:tr>
        <w:tc>
          <w:tcPr>
            <w:tcW w:type="dxa" w:w="1440"/>
          </w:tcPr>
          <w:p>
            <w:r>
              <w:rPr>
                <w:sz w:val="18"/>
              </w:rPr>
              <w:t>Energy</w:t>
            </w:r>
          </w:p>
        </w:tc>
        <w:tc>
          <w:tcPr>
            <w:tcW w:type="dxa" w:w="3600"/>
          </w:tcPr>
          <w:p>
            <w:r>
              <w:rPr>
                <w:sz w:val="18"/>
              </w:rPr>
              <w:t>SCADA telemetry, smart meter data,</w:t>
              <w:br/>
              <w:t>weather, grid operations logs</w:t>
            </w:r>
          </w:p>
        </w:tc>
        <w:tc>
          <w:tcPr>
            <w:tcW w:type="dxa" w:w="1152"/>
          </w:tcPr>
          <w:p>
            <w:r>
              <w:rPr>
                <w:sz w:val="18"/>
              </w:rPr>
              <w:t>Hourly/</w:t>
              <w:br/>
              <w:t>Daily</w:t>
            </w:r>
          </w:p>
        </w:tc>
        <w:tc>
          <w:tcPr>
            <w:tcW w:type="dxa" w:w="1152"/>
          </w:tcPr>
          <w:p>
            <w:r>
              <w:rPr>
                <w:sz w:val="18"/>
              </w:rPr>
              <w:t>3-6 months</w:t>
            </w:r>
          </w:p>
        </w:tc>
      </w:tr>
      <w:tr>
        <w:tc>
          <w:tcPr>
            <w:tcW w:type="dxa" w:w="1440"/>
            <w:shd w:fill="EAF0F6"/>
          </w:tcPr>
          <w:p>
            <w:r>
              <w:rPr>
                <w:sz w:val="18"/>
              </w:rPr>
              <w:t>Workforce</w:t>
            </w:r>
          </w:p>
        </w:tc>
        <w:tc>
          <w:tcPr>
            <w:tcW w:type="dxa" w:w="3600"/>
            <w:shd w:fill="EAF0F6"/>
          </w:tcPr>
          <w:p>
            <w:r>
              <w:rPr>
                <w:sz w:val="18"/>
              </w:rPr>
              <w:t>HR systems, collaboration tools,</w:t>
              <w:br/>
              <w:t>code repos, calendar, email metadata</w:t>
            </w:r>
          </w:p>
        </w:tc>
        <w:tc>
          <w:tcPr>
            <w:tcW w:type="dxa" w:w="1152"/>
            <w:shd w:fill="EAF0F6"/>
          </w:tcPr>
          <w:p>
            <w:r>
              <w:rPr>
                <w:sz w:val="18"/>
              </w:rPr>
              <w:t>Weekly</w:t>
            </w:r>
          </w:p>
        </w:tc>
        <w:tc>
          <w:tcPr>
            <w:tcW w:type="dxa" w:w="1152"/>
            <w:shd w:fill="EAF0F6"/>
          </w:tcPr>
          <w:p>
            <w:r>
              <w:rPr>
                <w:sz w:val="18"/>
              </w:rPr>
              <w:t>3-6 months</w:t>
            </w:r>
          </w:p>
        </w:tc>
      </w:tr>
    </w:tbl>
    <w:p/>
    <w:p>
      <w:r>
        <w:br w:type="page"/>
      </w:r>
    </w:p>
    <w:p>
      <w:pPr>
        <w:pStyle w:val="Heading1"/>
      </w:pPr>
      <w:r>
        <w:rPr>
          <w:color w:val="0D1B2A"/>
        </w:rPr>
        <w:t>8. Validated Results: Cybersecurity Proof of Concept</w:t>
      </w:r>
    </w:p>
    <w:p>
      <w:pPr>
        <w:spacing w:after="120"/>
      </w:pPr>
      <w:r>
        <w:rPr>
          <w:b w:val="0"/>
          <w:i w:val="0"/>
          <w:color w:val="000000"/>
          <w:sz w:val="21"/>
        </w:rPr>
        <w:t>The BEI framework has been validated through a comprehensive cybersecurity proof of concept — the V-Intelligence UEBA program. This validation demonstrates that the framework produces measurable, superior results compared to traditional analytical approaches. All figures below are from SYNTHETIC telemetry and must be re-validated on real operational data before any production claim.</w:t>
      </w:r>
    </w:p>
    <w:tbl>
      <w:tblPr>
        <w:tblStyle w:val="LightGrid-Accent1"/>
        <w:tblW w:type="auto" w:w="0"/>
        <w:jc w:val="center"/>
        <w:tblLook w:firstColumn="1" w:firstRow="1" w:lastColumn="0" w:lastRow="0" w:noHBand="0" w:noVBand="1" w:val="04A0"/>
      </w:tblPr>
      <w:tblGrid>
        <w:gridCol w:w="4703"/>
        <w:gridCol w:w="4703"/>
      </w:tblGrid>
      <w:tr>
        <w:tc>
          <w:tcPr>
            <w:tcW w:type="dxa" w:w="2592"/>
            <w:shd w:fill="0D1B2A"/>
          </w:tcPr>
          <w:p>
            <w:pPr>
              <w:jc w:val="center"/>
            </w:pPr>
            <w:r>
              <w:rPr>
                <w:b/>
                <w:color w:val="FFFFFF"/>
                <w:sz w:val="18"/>
              </w:rPr>
              <w:t>Parameter</w:t>
            </w:r>
          </w:p>
        </w:tc>
        <w:tc>
          <w:tcPr>
            <w:tcW w:type="dxa" w:w="6912"/>
            <w:shd w:fill="0D1B2A"/>
          </w:tcPr>
          <w:p>
            <w:pPr>
              <w:jc w:val="center"/>
            </w:pPr>
            <w:r>
              <w:rPr>
                <w:b/>
                <w:color w:val="FFFFFF"/>
                <w:sz w:val="18"/>
              </w:rPr>
              <w:t>Value</w:t>
            </w:r>
          </w:p>
        </w:tc>
      </w:tr>
      <w:tr>
        <w:tc>
          <w:tcPr>
            <w:tcW w:type="dxa" w:w="2592"/>
          </w:tcPr>
          <w:p>
            <w:r>
              <w:rPr>
                <w:sz w:val="18"/>
              </w:rPr>
              <w:t>Simulation period</w:t>
            </w:r>
          </w:p>
        </w:tc>
        <w:tc>
          <w:tcPr>
            <w:tcW w:type="dxa" w:w="6912"/>
          </w:tcPr>
          <w:p>
            <w:r>
              <w:rPr>
                <w:sz w:val="18"/>
              </w:rPr>
              <w:t>485 days (January 2025 — May 2026)</w:t>
            </w:r>
          </w:p>
        </w:tc>
      </w:tr>
      <w:tr>
        <w:tc>
          <w:tcPr>
            <w:tcW w:type="dxa" w:w="2592"/>
            <w:shd w:fill="EAF0F6"/>
          </w:tcPr>
          <w:p>
            <w:r>
              <w:rPr>
                <w:sz w:val="18"/>
              </w:rPr>
              <w:t>User population</w:t>
            </w:r>
          </w:p>
        </w:tc>
        <w:tc>
          <w:tcPr>
            <w:tcW w:type="dxa" w:w="6912"/>
            <w:shd w:fill="EAF0F6"/>
          </w:tcPr>
          <w:p>
            <w:r>
              <w:rPr>
                <w:sz w:val="18"/>
              </w:rPr>
              <w:t>250 users (employees, contractors, service accounts)</w:t>
            </w:r>
          </w:p>
        </w:tc>
      </w:tr>
      <w:tr>
        <w:tc>
          <w:tcPr>
            <w:tcW w:type="dxa" w:w="2592"/>
          </w:tcPr>
          <w:p>
            <w:r>
              <w:rPr>
                <w:sz w:val="18"/>
              </w:rPr>
              <w:t>Total event volume</w:t>
            </w:r>
          </w:p>
        </w:tc>
        <w:tc>
          <w:tcPr>
            <w:tcW w:type="dxa" w:w="6912"/>
          </w:tcPr>
          <w:p>
            <w:r>
              <w:rPr>
                <w:sz w:val="18"/>
              </w:rPr>
              <w:t>~14 million events across 5 log sources (485 days)</w:t>
            </w:r>
          </w:p>
        </w:tc>
      </w:tr>
      <w:tr>
        <w:tc>
          <w:tcPr>
            <w:tcW w:type="dxa" w:w="2592"/>
            <w:shd w:fill="EAF0F6"/>
          </w:tcPr>
          <w:p>
            <w:r>
              <w:rPr>
                <w:sz w:val="18"/>
              </w:rPr>
              <w:t>Attack campaigns</w:t>
            </w:r>
          </w:p>
        </w:tc>
        <w:tc>
          <w:tcPr>
            <w:tcW w:type="dxa" w:w="6912"/>
            <w:shd w:fill="EAF0F6"/>
          </w:tcPr>
          <w:p>
            <w:r>
              <w:rPr>
                <w:sz w:val="18"/>
              </w:rPr>
              <w:t>4 long-duration, multi-month campaigns</w:t>
            </w:r>
          </w:p>
        </w:tc>
      </w:tr>
      <w:tr>
        <w:tc>
          <w:tcPr>
            <w:tcW w:type="dxa" w:w="2592"/>
          </w:tcPr>
          <w:p>
            <w:r>
              <w:rPr>
                <w:sz w:val="18"/>
              </w:rPr>
              <w:t>Attack types</w:t>
            </w:r>
          </w:p>
        </w:tc>
        <w:tc>
          <w:tcPr>
            <w:tcW w:type="dxa" w:w="6912"/>
          </w:tcPr>
          <w:p>
            <w:r>
              <w:rPr>
                <w:sz w:val="18"/>
              </w:rPr>
              <w:t>Insider threat, Slow APT (C2), Volt Typhoon LOTL, Salt Typhoon telecom</w:t>
            </w:r>
          </w:p>
        </w:tc>
      </w:tr>
      <w:tr>
        <w:tc>
          <w:tcPr>
            <w:tcW w:type="dxa" w:w="2592"/>
            <w:shd w:fill="EAF0F6"/>
          </w:tcPr>
          <w:p>
            <w:r>
              <w:rPr>
                <w:sz w:val="18"/>
              </w:rPr>
              <w:t>Traditional detection</w:t>
            </w:r>
          </w:p>
        </w:tc>
        <w:tc>
          <w:tcPr>
            <w:tcW w:type="dxa" w:w="6912"/>
            <w:shd w:fill="EAF0F6"/>
          </w:tcPr>
          <w:p>
            <w:r>
              <w:rPr>
                <w:sz w:val="18"/>
              </w:rPr>
              <w:t>catches at most 1/4 (Z-Score 1 of 4; LOF/IForest/OCSVM 0 of 4) — and no directional intelligence</w:t>
            </w:r>
          </w:p>
        </w:tc>
      </w:tr>
      <w:tr>
        <w:tc>
          <w:tcPr>
            <w:tcW w:type="dxa" w:w="2592"/>
          </w:tcPr>
          <w:p>
            <w:r>
              <w:rPr>
                <w:sz w:val="18"/>
              </w:rPr>
              <w:t>BEI composite scoring</w:t>
            </w:r>
          </w:p>
        </w:tc>
        <w:tc>
          <w:tcPr>
            <w:tcW w:type="dxa" w:w="6912"/>
          </w:tcPr>
          <w:p>
            <w:r>
              <w:rPr>
                <w:sz w:val="18"/>
              </w:rPr>
              <w:t>4 of 4 detected at 8.1% false positive rate</w:t>
            </w:r>
          </w:p>
        </w:tc>
      </w:tr>
      <w:tr>
        <w:tc>
          <w:tcPr>
            <w:tcW w:type="dxa" w:w="2592"/>
            <w:shd w:fill="EAF0F6"/>
          </w:tcPr>
          <w:p>
            <w:r>
              <w:rPr>
                <w:sz w:val="18"/>
              </w:rPr>
              <w:t>Detection method</w:t>
            </w:r>
          </w:p>
        </w:tc>
        <w:tc>
          <w:tcPr>
            <w:tcW w:type="dxa" w:w="6912"/>
            <w:shd w:fill="EAF0F6"/>
          </w:tcPr>
          <w:p>
            <w:r>
              <w:rPr>
                <w:sz w:val="18"/>
              </w:rPr>
              <w:t>Multi-phase composite: signal strength + breadth + sustained +</w:t>
              <w:br/>
              <w:t>context divergence + novelty persistence</w:t>
            </w:r>
          </w:p>
        </w:tc>
      </w:tr>
    </w:tbl>
    <w:p/>
    <w:p>
      <w:pPr>
        <w:spacing w:after="120"/>
      </w:pPr>
      <w:r>
        <w:rPr>
          <w:b/>
          <w:i w:val="0"/>
          <w:color w:val="000000"/>
          <w:sz w:val="21"/>
        </w:rPr>
        <w:t>Per-attacker results: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008"/>
            <w:shd w:fill="0D1B2A"/>
          </w:tcPr>
          <w:p>
            <w:pPr>
              <w:jc w:val="center"/>
            </w:pPr>
            <w:r>
              <w:rPr>
                <w:b/>
                <w:color w:val="FFFFFF"/>
                <w:sz w:val="18"/>
              </w:rPr>
              <w:t>Attack User</w:t>
            </w:r>
          </w:p>
        </w:tc>
        <w:tc>
          <w:tcPr>
            <w:tcW w:type="dxa" w:w="1152"/>
            <w:shd w:fill="0D1B2A"/>
          </w:tcPr>
          <w:p>
            <w:pPr>
              <w:jc w:val="center"/>
            </w:pPr>
            <w:r>
              <w:rPr>
                <w:b/>
                <w:color w:val="FFFFFF"/>
                <w:sz w:val="18"/>
              </w:rPr>
              <w:t>Type</w:t>
            </w:r>
          </w:p>
        </w:tc>
        <w:tc>
          <w:tcPr>
            <w:tcW w:type="dxa" w:w="1008"/>
            <w:shd w:fill="0D1B2A"/>
          </w:tcPr>
          <w:p>
            <w:pPr>
              <w:jc w:val="center"/>
            </w:pPr>
            <w:r>
              <w:rPr>
                <w:b/>
                <w:color w:val="FFFFFF"/>
                <w:sz w:val="18"/>
              </w:rPr>
              <w:t>Duration</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4464"/>
            <w:shd w:fill="0D1B2A"/>
          </w:tcPr>
          <w:p>
            <w:pPr>
              <w:jc w:val="center"/>
            </w:pPr>
            <w:r>
              <w:rPr>
                <w:b/>
                <w:color w:val="FFFFFF"/>
                <w:sz w:val="18"/>
              </w:rPr>
              <w:t>Primary Detection Signal</w:t>
            </w:r>
          </w:p>
        </w:tc>
      </w:tr>
      <w:tr>
        <w:tc>
          <w:tcPr>
            <w:tcW w:type="dxa" w:w="1008"/>
          </w:tcPr>
          <w:p>
            <w:r>
              <w:rPr>
                <w:sz w:val="18"/>
              </w:rPr>
              <w:t>USR-118</w:t>
            </w:r>
          </w:p>
        </w:tc>
        <w:tc>
          <w:tcPr>
            <w:tcW w:type="dxa" w:w="1152"/>
          </w:tcPr>
          <w:p>
            <w:r>
              <w:rPr>
                <w:sz w:val="18"/>
              </w:rPr>
              <w:t>Salt Typhoon</w:t>
              <w:br/>
              <w:t>(Telecom)</w:t>
            </w:r>
          </w:p>
        </w:tc>
        <w:tc>
          <w:tcPr>
            <w:tcW w:type="dxa" w:w="1008"/>
          </w:tcPr>
          <w:p>
            <w:r>
              <w:rPr>
                <w:sz w:val="18"/>
              </w:rPr>
              <w:t>412 days</w:t>
            </w:r>
          </w:p>
        </w:tc>
        <w:tc>
          <w:tcPr>
            <w:tcW w:type="dxa" w:w="1008"/>
          </w:tcPr>
          <w:p>
            <w:r>
              <w:rPr>
                <w:sz w:val="18"/>
              </w:rPr>
              <w:t>51.3</w:t>
            </w:r>
          </w:p>
        </w:tc>
        <w:tc>
          <w:tcPr>
            <w:tcW w:type="dxa" w:w="720"/>
          </w:tcPr>
          <w:p>
            <w:r>
              <w:rPr>
                <w:sz w:val="18"/>
              </w:rPr>
              <w:t>#1</w:t>
            </w:r>
          </w:p>
        </w:tc>
        <w:tc>
          <w:tcPr>
            <w:tcW w:type="dxa" w:w="4464"/>
          </w:tcPr>
          <w:p>
            <w:r>
              <w:rPr>
                <w:sz w:val="18"/>
              </w:rPr>
              <w:t>Signal strength + breadth across</w:t>
              <w:br/>
              <w:t>multiple behavioral zones</w:t>
            </w:r>
          </w:p>
        </w:tc>
      </w:tr>
      <w:tr>
        <w:tc>
          <w:tcPr>
            <w:tcW w:type="dxa" w:w="1008"/>
            <w:shd w:fill="EAF0F6"/>
          </w:tcPr>
          <w:p>
            <w:r>
              <w:rPr>
                <w:sz w:val="18"/>
              </w:rPr>
              <w:t>USR-156</w:t>
            </w:r>
          </w:p>
        </w:tc>
        <w:tc>
          <w:tcPr>
            <w:tcW w:type="dxa" w:w="1152"/>
            <w:shd w:fill="EAF0F6"/>
          </w:tcPr>
          <w:p>
            <w:r>
              <w:rPr>
                <w:sz w:val="18"/>
              </w:rPr>
              <w:t>Insider</w:t>
              <w:br/>
              <w:t>Threat</w:t>
            </w:r>
          </w:p>
        </w:tc>
        <w:tc>
          <w:tcPr>
            <w:tcW w:type="dxa" w:w="1008"/>
            <w:shd w:fill="EAF0F6"/>
          </w:tcPr>
          <w:p>
            <w:r>
              <w:rPr>
                <w:sz w:val="18"/>
              </w:rPr>
              <w:t>14 months</w:t>
            </w:r>
          </w:p>
        </w:tc>
        <w:tc>
          <w:tcPr>
            <w:tcW w:type="dxa" w:w="1008"/>
            <w:shd w:fill="EAF0F6"/>
          </w:tcPr>
          <w:p>
            <w:r>
              <w:rPr>
                <w:sz w:val="18"/>
              </w:rPr>
              <w:t>46.2</w:t>
            </w:r>
          </w:p>
        </w:tc>
        <w:tc>
          <w:tcPr>
            <w:tcW w:type="dxa" w:w="720"/>
            <w:shd w:fill="EAF0F6"/>
          </w:tcPr>
          <w:p>
            <w:r>
              <w:rPr>
                <w:sz w:val="18"/>
              </w:rPr>
              <w:t>#2</w:t>
            </w:r>
          </w:p>
        </w:tc>
        <w:tc>
          <w:tcPr>
            <w:tcW w:type="dxa" w:w="4464"/>
            <w:shd w:fill="EAF0F6"/>
          </w:tcPr>
          <w:p>
            <w:r>
              <w:rPr>
                <w:sz w:val="18"/>
              </w:rPr>
              <w:t>Sustained deviation over 14-month</w:t>
              <w:br/>
              <w:t>escalation; data behavior zone drift</w:t>
            </w:r>
          </w:p>
        </w:tc>
      </w:tr>
      <w:tr>
        <w:tc>
          <w:tcPr>
            <w:tcW w:type="dxa" w:w="1008"/>
          </w:tcPr>
          <w:p>
            <w:r>
              <w:rPr>
                <w:sz w:val="18"/>
              </w:rPr>
              <w:t>USR-234</w:t>
            </w:r>
          </w:p>
        </w:tc>
        <w:tc>
          <w:tcPr>
            <w:tcW w:type="dxa" w:w="1152"/>
          </w:tcPr>
          <w:p>
            <w:r>
              <w:rPr>
                <w:sz w:val="18"/>
              </w:rPr>
              <w:t>Slow APT</w:t>
              <w:br/>
              <w:t>(C2 Beacon)</w:t>
            </w:r>
          </w:p>
        </w:tc>
        <w:tc>
          <w:tcPr>
            <w:tcW w:type="dxa" w:w="1008"/>
          </w:tcPr>
          <w:p>
            <w:r>
              <w:rPr>
                <w:sz w:val="18"/>
              </w:rPr>
              <w:t>417 days</w:t>
            </w:r>
          </w:p>
        </w:tc>
        <w:tc>
          <w:tcPr>
            <w:tcW w:type="dxa" w:w="1008"/>
          </w:tcPr>
          <w:p>
            <w:r>
              <w:rPr>
                <w:sz w:val="18"/>
              </w:rPr>
              <w:t>19.4</w:t>
            </w:r>
          </w:p>
        </w:tc>
        <w:tc>
          <w:tcPr>
            <w:tcW w:type="dxa" w:w="720"/>
          </w:tcPr>
          <w:p>
            <w:r>
              <w:rPr>
                <w:sz w:val="18"/>
              </w:rPr>
              <w:t>#7</w:t>
            </w:r>
          </w:p>
        </w:tc>
        <w:tc>
          <w:tcPr>
            <w:tcW w:type="dxa" w:w="4464"/>
          </w:tcPr>
          <w:p>
            <w:r>
              <w:rPr>
                <w:sz w:val="18"/>
              </w:rPr>
              <w:t>Novelty persistence: C2 beacon IP</w:t>
              <w:br/>
              <w:t>appears in 60/60 post-baseline weeks</w:t>
            </w:r>
          </w:p>
        </w:tc>
      </w:tr>
      <w:tr>
        <w:tc>
          <w:tcPr>
            <w:tcW w:type="dxa" w:w="1008"/>
            <w:shd w:fill="EAF0F6"/>
          </w:tcPr>
          <w:p>
            <w:r>
              <w:rPr>
                <w:sz w:val="18"/>
              </w:rPr>
              <w:t>USR-042</w:t>
            </w:r>
          </w:p>
        </w:tc>
        <w:tc>
          <w:tcPr>
            <w:tcW w:type="dxa" w:w="1152"/>
            <w:shd w:fill="EAF0F6"/>
          </w:tcPr>
          <w:p>
            <w:r>
              <w:rPr>
                <w:sz w:val="18"/>
              </w:rPr>
              <w:t>Volt Typhoon</w:t>
              <w:br/>
              <w:t>(LOTL)</w:t>
            </w:r>
          </w:p>
        </w:tc>
        <w:tc>
          <w:tcPr>
            <w:tcW w:type="dxa" w:w="1008"/>
            <w:shd w:fill="EAF0F6"/>
          </w:tcPr>
          <w:p>
            <w:r>
              <w:rPr>
                <w:sz w:val="18"/>
              </w:rPr>
              <w:t>412 days</w:t>
            </w:r>
          </w:p>
        </w:tc>
        <w:tc>
          <w:tcPr>
            <w:tcW w:type="dxa" w:w="1008"/>
            <w:shd w:fill="EAF0F6"/>
          </w:tcPr>
          <w:p>
            <w:r>
              <w:rPr>
                <w:sz w:val="18"/>
              </w:rPr>
              <w:t>13.7</w:t>
            </w:r>
          </w:p>
        </w:tc>
        <w:tc>
          <w:tcPr>
            <w:tcW w:type="dxa" w:w="720"/>
            <w:shd w:fill="EAF0F6"/>
          </w:tcPr>
          <w:p>
            <w:r>
              <w:rPr>
                <w:sz w:val="18"/>
              </w:rPr>
              <w:t>#24</w:t>
            </w:r>
          </w:p>
        </w:tc>
        <w:tc>
          <w:tcPr>
            <w:tcW w:type="dxa" w:w="4464"/>
            <w:shd w:fill="EAF0F6"/>
          </w:tcPr>
          <w:p>
            <w:r>
              <w:rPr>
                <w:sz w:val="18"/>
              </w:rPr>
              <w:t>Context divergence + signal strength</w:t>
              <w:br/>
              <w:t>from LOTL tool usage patterns</w:t>
            </w:r>
          </w:p>
        </w:tc>
      </w:tr>
    </w:tbl>
    <w:p/>
    <w:p>
      <w:pPr>
        <w:pBdr>
          <w:left w:val="single" w:sz="24" w:space="12" w:color="0E6B8A"/>
        </w:pBdr>
        <w:shd w:fill="EAF4F7" w:val="clear"/>
        <w:spacing w:before="160" w:after="160"/>
      </w:pPr>
      <w:r>
        <w:rPr>
          <w:b/>
          <w:color w:val="0D1B2A"/>
          <w:sz w:val="21"/>
        </w:rPr>
        <w:t>Traditional anomaly detection catches at most one of the four attackers (Z-Score 1; LOF, IForest, OCSVM 0) — and none provide directional intelligence for triage. BEI's multi-phase composite scoring matches 4/4 detection AND adds zone-level explanation of which behavioral dimension changed, enabling analysts to distinguish insider from APT from LOTL.</w:t>
      </w:r>
    </w:p>
    <w:p>
      <w:pPr>
        <w:pStyle w:val="Heading2"/>
      </w:pPr>
      <w:r>
        <w:rPr>
          <w:color w:val="1B4F72"/>
        </w:rPr>
        <w:t>8.1. Relation to Prior Art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the BEI framework. Commercial UEBA (Exabeam, Securonix, Microsoft Sentinel UEBA) detects via statistical / p-value profiling, machine-learning baselines, rarity- and magnitude-based scores, and TF-IDF peer grouping; their generative-AI features are copilots, not the detection mechanism. Commercial demand / supply-chain platforms (SAP IBP, o9, Kinaxis) forecast with gradient-boosted trees and machine learning over tabular features on knowledge-graph data models, with generative AI as a conversational layer.</w:t>
      </w:r>
    </w:p>
    <w:p>
      <w:pPr>
        <w:spacing w:after="120"/>
      </w:pPr>
      <w:r>
        <w:rPr>
          <w:b w:val="0"/>
          <w:i w:val="0"/>
          <w:color w:val="000000"/>
          <w:sz w:val="21"/>
        </w:rPr>
        <w:t>BEI is explicit about prior art: its constituent techniques are individually established — LLM-embedding of serialized behavior for anomaly detection (APT-LLM, arXiv:2502.09385; LogBERT, arXiv:2103.04475), serializing raw metrics to prose before embedding (TabLLM family, arXiv:2502.11596), embed-then-detect pipelines (TAD-Bench, arXiv:2501.11960), and embedding drift by cosine distance (ZEDD, arXiv:2601.12359). Each, however, detects by MAGNITUDE and operates in a single domain; none projects the DIRECTION of drift onto named natural-language concepts, nor unifies multiple domains in one embedding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represents entities of every kind in one semantic space and detects by the DIRECTION of behavioral drift against named concepts. BEI's contribution is the integrated, cross-domain architecture and the concept-direction paradigm, not any single technique. (A formal patent / freedom-to-operate review is recommended before any contractual assertion of uniqueness.)</w:t>
      </w:r>
    </w:p>
    <w:p>
      <w:r>
        <w:br w:type="page"/>
      </w:r>
    </w:p>
    <w:p>
      <w:pPr>
        <w:pStyle w:val="Heading1"/>
      </w:pPr>
      <w:r>
        <w:rPr>
          <w:color w:val="0D1B2A"/>
        </w:rPr>
        <w:t>9. Implementation Architecture</w:t>
      </w:r>
    </w:p>
    <w:p>
      <w:pPr>
        <w:spacing w:after="120"/>
      </w:pPr>
      <w:r>
        <w:rPr>
          <w:b w:val="0"/>
          <w:i w:val="0"/>
          <w:color w:val="000000"/>
          <w:sz w:val="21"/>
        </w:rPr>
        <w:t>BEI is implemented as a containerized, database-backed platform deployable on standard infrastructure. The architecture is domain-agnostic — the same platform supports cybersecurity, supply chain, healthcare, and other domains by configuring entity definitions, behavioral zones, and relationship mappings.</w:t>
      </w:r>
    </w:p>
    <w:p>
      <w:pPr>
        <w:spacing w:after="120"/>
      </w:pPr>
      <w:r>
        <w:rPr>
          <w:b/>
          <w:i w:val="0"/>
          <w:color w:val="000000"/>
          <w:sz w:val="21"/>
        </w:rPr>
        <w:t>Core components:</w:t>
      </w:r>
    </w:p>
    <w:p>
      <w:pPr>
        <w:pStyle w:val="ListBullet"/>
        <w:ind w:left="360"/>
      </w:pPr>
      <w:r>
        <w:rPr>
          <w:b/>
          <w:sz w:val="21"/>
        </w:rPr>
        <w:t xml:space="preserve">Vector database: </w:t>
      </w:r>
      <w:r>
        <w:rPr>
          <w:sz w:val="21"/>
        </w:rPr>
        <w:t>PostgreSQL with pgvector extension for high-dimensional behavioral vector storage and similarity search</w:t>
      </w:r>
    </w:p>
    <w:p>
      <w:pPr>
        <w:pStyle w:val="ListBullet"/>
        <w:ind w:left="360"/>
      </w:pPr>
      <w:r>
        <w:rPr>
          <w:b/>
          <w:sz w:val="21"/>
        </w:rPr>
        <w:t xml:space="preserve">API layer: </w:t>
      </w:r>
      <w:r>
        <w:rPr>
          <w:sz w:val="21"/>
        </w:rPr>
        <w:t>RESTful API layer for data ingestion, entity profile management, and anomaly query</w:t>
      </w:r>
    </w:p>
    <w:p>
      <w:pPr>
        <w:pStyle w:val="ListBullet"/>
        <w:ind w:left="360"/>
      </w:pPr>
      <w:r>
        <w:rPr>
          <w:b/>
          <w:sz w:val="21"/>
        </w:rPr>
        <w:t xml:space="preserve">Processing pipeline: </w:t>
      </w:r>
      <w:r>
        <w:rPr>
          <w:sz w:val="21"/>
        </w:rPr>
        <w:t>Automated pipeline for periodic behavioral snapshot computation, drift analysis, and composite scoring</w:t>
      </w:r>
    </w:p>
    <w:p>
      <w:pPr>
        <w:pStyle w:val="ListBullet"/>
        <w:ind w:left="360"/>
      </w:pPr>
      <w:r>
        <w:rPr>
          <w:b/>
          <w:sz w:val="21"/>
        </w:rPr>
        <w:t xml:space="preserve">Dashboard: </w:t>
      </w:r>
      <w:r>
        <w:rPr>
          <w:sz w:val="21"/>
        </w:rPr>
        <w:t>Interactive dashboard for entity exploration, anomaly investigation, and drill-down analysis</w:t>
      </w:r>
    </w:p>
    <w:p>
      <w:pPr>
        <w:pStyle w:val="ListBullet"/>
        <w:ind w:left="360"/>
      </w:pPr>
      <w:r>
        <w:rPr>
          <w:b/>
          <w:sz w:val="21"/>
        </w:rPr>
        <w:t xml:space="preserve">Deployment: </w:t>
      </w:r>
      <w:r>
        <w:rPr>
          <w:sz w:val="21"/>
        </w:rPr>
        <w:t>Containerized deployment (Docker) for enterprise data centers, tactical edge, and cloud environments</w:t>
      </w:r>
    </w:p>
    <w:p>
      <w:pPr>
        <w:spacing w:after="120"/>
      </w:pPr>
      <w:r>
        <w:rPr>
          <w:b/>
          <w:i w:val="0"/>
          <w:color w:val="000000"/>
          <w:sz w:val="21"/>
        </w:rPr>
        <w:t>Deployment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6768"/>
            <w:shd w:fill="0D1B2A"/>
          </w:tcPr>
          <w:p>
            <w:pPr>
              <w:jc w:val="center"/>
            </w:pPr>
            <w:r>
              <w:rPr>
                <w:b/>
                <w:color w:val="FFFFFF"/>
                <w:sz w:val="18"/>
              </w:rPr>
              <w:t>Activities</w:t>
            </w:r>
          </w:p>
        </w:tc>
      </w:tr>
      <w:tr>
        <w:tc>
          <w:tcPr>
            <w:tcW w:type="dxa" w:w="1440"/>
          </w:tcPr>
          <w:p>
            <w:r>
              <w:rPr>
                <w:sz w:val="18"/>
              </w:rPr>
              <w:t>1. Configuration</w:t>
            </w:r>
          </w:p>
        </w:tc>
        <w:tc>
          <w:tcPr>
            <w:tcW w:type="dxa" w:w="1152"/>
          </w:tcPr>
          <w:p>
            <w:r>
              <w:rPr>
                <w:sz w:val="18"/>
              </w:rPr>
              <w:t>1-2 weeks</w:t>
            </w:r>
          </w:p>
        </w:tc>
        <w:tc>
          <w:tcPr>
            <w:tcW w:type="dxa" w:w="6768"/>
          </w:tcPr>
          <w:p>
            <w:r>
              <w:rPr>
                <w:sz w:val="18"/>
              </w:rPr>
              <w:t>Define entities, behavioral zones, relationships,</w:t>
              <w:br/>
              <w:t>and data source mappings for the target domain</w:t>
            </w:r>
          </w:p>
        </w:tc>
      </w:tr>
      <w:tr>
        <w:tc>
          <w:tcPr>
            <w:tcW w:type="dxa" w:w="1440"/>
            <w:shd w:fill="EAF0F6"/>
          </w:tcPr>
          <w:p>
            <w:r>
              <w:rPr>
                <w:sz w:val="18"/>
              </w:rPr>
              <w:t>2. Data Integration</w:t>
            </w:r>
          </w:p>
        </w:tc>
        <w:tc>
          <w:tcPr>
            <w:tcW w:type="dxa" w:w="1152"/>
            <w:shd w:fill="EAF0F6"/>
          </w:tcPr>
          <w:p>
            <w:r>
              <w:rPr>
                <w:sz w:val="18"/>
              </w:rPr>
              <w:t>2-4 weeks</w:t>
            </w:r>
          </w:p>
        </w:tc>
        <w:tc>
          <w:tcPr>
            <w:tcW w:type="dxa" w:w="6768"/>
            <w:shd w:fill="EAF0F6"/>
          </w:tcPr>
          <w:p>
            <w:r>
              <w:rPr>
                <w:sz w:val="18"/>
              </w:rPr>
              <w:t>Connect to organizational data sources;</w:t>
              <w:br/>
              <w:t>validate feature engineering pipeline</w:t>
            </w:r>
          </w:p>
        </w:tc>
      </w:tr>
      <w:tr>
        <w:tc>
          <w:tcPr>
            <w:tcW w:type="dxa" w:w="1440"/>
          </w:tcPr>
          <w:p>
            <w:r>
              <w:rPr>
                <w:sz w:val="18"/>
              </w:rPr>
              <w:t>3. Baseline</w:t>
            </w:r>
          </w:p>
        </w:tc>
        <w:tc>
          <w:tcPr>
            <w:tcW w:type="dxa" w:w="1152"/>
          </w:tcPr>
          <w:p>
            <w:r>
              <w:rPr>
                <w:sz w:val="18"/>
              </w:rPr>
              <w:t>4-6 weeks</w:t>
            </w:r>
          </w:p>
        </w:tc>
        <w:tc>
          <w:tcPr>
            <w:tcW w:type="dxa" w:w="6768"/>
          </w:tcPr>
          <w:p>
            <w:r>
              <w:rPr>
                <w:sz w:val="18"/>
              </w:rPr>
              <w:t>Build behavioral baselines for all entities;</w:t>
              <w:br/>
              <w:t>establish normal behavioral ranges</w:t>
            </w:r>
          </w:p>
        </w:tc>
      </w:tr>
      <w:tr>
        <w:tc>
          <w:tcPr>
            <w:tcW w:type="dxa" w:w="1440"/>
            <w:shd w:fill="EAF0F6"/>
          </w:tcPr>
          <w:p>
            <w:r>
              <w:rPr>
                <w:sz w:val="18"/>
              </w:rPr>
              <w:t>4. Detection</w:t>
            </w:r>
          </w:p>
        </w:tc>
        <w:tc>
          <w:tcPr>
            <w:tcW w:type="dxa" w:w="1152"/>
            <w:shd w:fill="EAF0F6"/>
          </w:tcPr>
          <w:p>
            <w:r>
              <w:rPr>
                <w:sz w:val="18"/>
              </w:rPr>
              <w:t>2-4 weeks</w:t>
            </w:r>
          </w:p>
        </w:tc>
        <w:tc>
          <w:tcPr>
            <w:tcW w:type="dxa" w:w="6768"/>
            <w:shd w:fill="EAF0F6"/>
          </w:tcPr>
          <w:p>
            <w:r>
              <w:rPr>
                <w:sz w:val="18"/>
              </w:rPr>
              <w:t>Deploy composite scoring;</w:t>
              <w:br/>
              <w:t>tune thresholds on historical data; validate FP rate</w:t>
            </w:r>
          </w:p>
        </w:tc>
      </w:tr>
      <w:tr>
        <w:tc>
          <w:tcPr>
            <w:tcW w:type="dxa" w:w="1440"/>
          </w:tcPr>
          <w:p>
            <w:r>
              <w:rPr>
                <w:sz w:val="18"/>
              </w:rPr>
              <w:t>5. Production</w:t>
            </w:r>
          </w:p>
        </w:tc>
        <w:tc>
          <w:tcPr>
            <w:tcW w:type="dxa" w:w="1152"/>
          </w:tcPr>
          <w:p>
            <w:r>
              <w:rPr>
                <w:sz w:val="18"/>
              </w:rPr>
              <w:t>Ongoing</w:t>
            </w:r>
          </w:p>
        </w:tc>
        <w:tc>
          <w:tcPr>
            <w:tcW w:type="dxa" w:w="6768"/>
          </w:tcPr>
          <w:p>
            <w:r>
              <w:rPr>
                <w:sz w:val="18"/>
              </w:rPr>
              <w:t>Continuous behavioral monitoring;</w:t>
              <w:br/>
              <w:t>integration with existing investigation workflows</w:t>
            </w:r>
          </w:p>
        </w:tc>
      </w:tr>
    </w:tbl>
    <w:p/>
    <w:p>
      <w:r>
        <w:br w:type="page"/>
      </w:r>
    </w:p>
    <w:p>
      <w:pPr>
        <w:pStyle w:val="Heading1"/>
      </w:pPr>
      <w:r>
        <w:rPr>
          <w:color w:val="0D1B2A"/>
        </w:rPr>
        <w:t>10. Conclusion</w:t>
      </w:r>
    </w:p>
    <w:p>
      <w:pPr>
        <w:spacing w:after="120"/>
      </w:pPr>
      <w:r>
        <w:rPr>
          <w:b w:val="0"/>
          <w:i w:val="0"/>
          <w:color w:val="000000"/>
          <w:sz w:val="21"/>
        </w:rPr>
        <w:t>Behavioral Entity Intelligence represents a fundamental advance in anomaly detection. By defining any observable subject as a multi-dimensional behavioral entity — tracked across nine dimensions, analyzed at three layers, and scored through five composite phases — BEI detects threats that are structurally invisible to traditional threshold-based and magnitude-only analytics.</w:t>
      </w:r>
    </w:p>
    <w:p>
      <w:pPr>
        <w:spacing w:after="120"/>
      </w:pPr>
      <w:r>
        <w:rPr>
          <w:b w:val="0"/>
          <w:i w:val="0"/>
          <w:color w:val="000000"/>
          <w:sz w:val="21"/>
        </w:rPr>
        <w:t>The framework is validated through a cybersecurity proof of concept achieving 4 of 4 attack detection at 8.1% false positive rate with zone-level directional intelligence that traditional methods cannot provide. More importantly, the framework is domain-agnostic — the same analytical architecture that detects insider threats in cybersecurity detects supplier substitution fraud in supply chains, upcoding in healthcare billing, C2 beaconing in APT campaigns, and degradation patterns in equipment maintenance.</w:t>
      </w:r>
    </w:p>
    <w:p>
      <w:pPr>
        <w:spacing w:after="120"/>
      </w:pPr>
      <w:r>
        <w:rPr>
          <w:b w:val="0"/>
          <w:i w:val="0"/>
          <w:color w:val="000000"/>
          <w:sz w:val="21"/>
        </w:rPr>
        <w:t>The core insight is universal: sophisticated threats change WHAT they do, not HOW MUCH. They stay within normal volume ranges while shifting behavioral direction. Traditional systems measure magnitude. BEI measures direction. This directional intelligence — applied across entity profiles, relationship dynamics, and network graphs — is the analytical foundation required to detect the threats that matter most.</w:t>
      </w:r>
    </w:p>
    <w:p>
      <w:pPr>
        <w:pBdr>
          <w:left w:val="single" w:sz="24" w:space="12" w:color="0E6B8A"/>
        </w:pBdr>
        <w:shd w:fill="EAF4F7" w:val="clear"/>
        <w:spacing w:before="160" w:after="160"/>
      </w:pPr>
      <w:r>
        <w:rPr>
          <w:b/>
          <w:color w:val="0D1B2A"/>
          <w:sz w:val="21"/>
        </w:rPr>
        <w:t>Behavioral Entity Intelligence: Nine dimensions. Three layers. Five scoring phases. One universal framework — from cybersecurity to supply chain to healthcare to counter-intelligence. The entity changes WHAT it does, not HOW MUCH. BEI sees the difference.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